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D-3436/2012 vom 6. Dezember 2013</w:t>
      </w:r>
    </w:p>
    <w:p>
      <w:r>
        <w:t>Bundesverwaltungsgericht, 2013-12-06, DE</w:t>
      </w:r>
    </w:p>
    <w:p>
      <w:r>
        <w:rPr>
          <w:b/>
        </w:rPr>
        <w:t xml:space="preserve">Quelle: </w:t>
      </w:r>
      <w:r>
        <w:t>https://mcp.opencaselaw.ch/entscheid/bvger_D-3436_2012</w:t>
      </w:r>
    </w:p>
    <w:p>
      <w:r>
        <w:t>FR: TAF D-3436/2012 du 6 décembre 2013</w:t>
      </w:r>
    </w:p>
    <w:p>
      <w:r>
        <w:t>IT: TAF D-3436/2012 del 6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1.4</w:t>
      </w:r>
    </w:p>
    <w:p>
      <w:r>
        <w:t>Die Beschwerde ist im Verfahren einzelrichterlicher Zuständigkeit mit Zustimmung eines zweiten Richters oder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23. Mai 2012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4.3</w:t>
      </w:r>
    </w:p>
    <w:p>
      <w:r>
        <w:t>Das Bundesverwaltungsgericht erachtet den in der Kostennote vom 23. Juli 2012 ausgewiesenen Zeitaufwand von 16,51 Stunden für die Erarbeitung der Rechtschriften als zu hoch. Zudem weisen manche Beweismittel (insbesondere Länderberichte) keinen individuellen Bezug zum Beschwerdeführer auf und haben für das Beschwerdeverfahren nur mittelbare Aussagekraft. Ferner sind weite Teile der Beschwerdebe­gründung und zahlreiche Beweismittel zur allgemeinen Lage in Sri Lanka in diversen vom mandatierten Rechtsvertreter geführten Beschwerdeverfahren in identischer Weise eingereicht worden. Im Übrigen ist der Inhalt der Eingaben teilweise redundant. Unter Berücksichtigung der massgebenden Bemessungsfaktoren (Art. 9-13 VGKE) hat das BFM dem Beschwerdeführer eine Parteientschädigung in der Höhe von total Fr. 1800.-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