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D-3432/2011 vom 22. Januar 2013</w:t>
      </w:r>
    </w:p>
    <w:p>
      <w:r>
        <w:t>Bundesverwaltungsgericht, 2013-01-22, DE</w:t>
      </w:r>
    </w:p>
    <w:p>
      <w:r>
        <w:rPr>
          <w:b/>
        </w:rPr>
        <w:t xml:space="preserve">Quelle: </w:t>
      </w:r>
      <w:r>
        <w:t>https://mcp.opencaselaw.ch/entscheid/bvger_D-3432_2011</w:t>
      </w:r>
    </w:p>
    <w:p>
      <w:r>
        <w:t>FR: TAF D-3432/2011 du 22 janvier 2013</w:t>
      </w:r>
    </w:p>
    <w:p>
      <w:r>
        <w:t>IT: TAF D-3432/2011 del 22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befand in seiner angefochtenen Verfügung, angesichts der teils widersprüchlichen, unlogischen und unsubstanziierten Darlegungen erschienen die von der Beschwerdeführerin behaupteten Massnahmen der Sicherheitskräfte, die dabei erlittenen Übergriffe und die geltend gemachte behördliche Suche nicht glaubhaft.</w:t>
      </w:r>
    </w:p>
    <w:p>
      <w:r>
        <w:rPr>
          <w:b/>
        </w:rPr>
        <w:t>E. 4.1.1</w:t>
      </w:r>
    </w:p>
    <w:p>
      <w:r>
        <w:t>Wie in der Beschwerdeschrift (vgl. S. 3) indessen zu Recht bemerkt wird, kann den von der Beschwerdeführerin gemachten Aussagen betreffend die Kontakte ihres Ehemannes zu den LTTE (sie gab in der Erstbefragung zu Protokoll, ihr Mann sei seit der Heirat im Jahr 1996 nicht mehr bei den LTTE [vgl. Vorakten A1 S, 7], um dann in der Anhörung vom 2. September 2010 weiter auszuführen, ihr Ehemann habe sich auch nach Ende seiner aktiven Tätigkeit bis ins Jahr 2006 regelmässig mit drei einflussreichen LTTE-Männern getroffen [vgl. A10 S. 5]) kein klarer Widerspruch entnommen werden.</w:t>
      </w:r>
    </w:p>
    <w:p>
      <w:r>
        <w:rPr>
          <w:b/>
        </w:rPr>
        <w:t>E. 4.1.2</w:t>
      </w:r>
    </w:p>
    <w:p>
      <w:r>
        <w:t>Auch die Angaben der Beschwerdeführerin zu ihren Problemen nach dem Tod ihres Ehemannes erscheinen nur auf den ersten Blick ungereimt. So erklärte die Beschwerdeführerin zwar anlässlich der Erstbefragung, ungefähr zehnmal seien Leute des CID vorbei gekommen und hätten sie befragt, wobei einer der Männer sie auch habe berühren wollen, doch beim Erscheinen einer Nachbarin von ihr gelassen habe (vgl. A1 S. 7); demgegenüber gab sie in der zwei Wochen später stattgefundenen Anhörung zu Protokoll, nicht Leute des CID, sondern Soldaten und Männer in Zivil seien unzählige Male bei ihr zu Hause erschienen und hätten sie auch zweimal auf den Posten gebracht, wobei sie bei den Besuchen nicht nur befragt, sondern auch sexuell belästigt und vergewaltigt worden sei (vgl. A10 S. 14 ff.). In der Beschwerdeschrift (vgl. S. 3 Mitte) wird in diesem Kontext zutreffend darauf hingewiesen, anlässlich der Erstbefragung seien zwei Männer - der Befrager und der Dolmetscher - anwesend gewesen, so dass es der Beschwerdeführerin nicht möglich gewesen sei, die erlittenen Vergewaltigungen zu schildern. Im Gegensatz dazu sei die zweite, sehr ausführliche Befragung von einem Frauenteam durchgeführt worden; dort habe die Beschwerdeführerin dann ihre Erlebnisse detailliert schildern können. Aufgrund der doch sehr unterschiedlichen Befragungen erschienen "gewisse Punkte in einem etwas anderen Kontext". Tatsächlich erwähnte die Beschwerdeführerin bereits in der Erstbefragung sexuelle Übergriffe und erklärte auf entsprechende Nachfrage - unter Weinen - , sie möchte diese Vorfälle lieber vor einem Frauenteam erzählen. Die diesbezüglich in der Erstbefragung gemachten Ausführungen sind in der Folge sehr vage geblieben und können angesichts der Umstände nicht ohne Weiteres mit den Darlegungen in der späteren Anhörung verglichen werden. Im Übrigen behauptete die Beschwerdeführerin - entgegen der Darstellung auf S. 4 der angefochtenen Verfügung - auch nicht, die sexuellen Übergriffe hätten auf dem Posten stattgefunden (vgl. A10 S. 17).</w:t>
      </w:r>
    </w:p>
    <w:p>
      <w:r>
        <w:rPr>
          <w:b/>
        </w:rPr>
        <w:t>E. 4.1.3</w:t>
      </w:r>
    </w:p>
    <w:p>
      <w:r>
        <w:t>In Bezug auf die Feststellung der Vorinstanz, den Schilderungen der Beschwerdeführerin mangle es auch an Plausibilität, ist Folgendes festzuhalten: Zwar erscheint die Darstellung, einen Tag nach dem Tod des Ehemannes seien etwa hundert Soldaten und am darauffolgenden Tag rund fünfzig Militärangehörige in Jeeps und Lastwagen vorgefahren, wobei diese gleich mehrmals täglich - morgens, mittags und abends - gekommen seien und Fragen gestellt hätten (vgl. A 10 S. 11), wohl in der Tat übertrieben geschildert, und es ist auch nicht zu bestreiten, dass die Beschwerdeführerin sich hinsichtlich der Personen beziehungsweise der Gruppierungen, von welchen sie aufgesucht worden sein will, verschiedentlich etwas ungenau äusserte. Doch angesichts der Tatsache, dass auch für Personen mit fundierten Kenntnissen der politischen Situation in Sri Lanka nicht immer klar erkennbar war, welche (singhalesischen) Sicherheitsorgane zu welchem Zeitpunkt - unter anderem mangels eigener Kenntnisse der tamilischen Sprache - mit welchen (tamilischen) Gruppierungen zusammenarbeiteten, erscheinen die in diesem Zusammenhang aufgetretenen Ungenauigkeiten durchaus nachvollziehbar. Sodann ist nachvollziehbar, dass die Beschwerdeführerin als Witwe eines ehemaligen LTTE-Aktivisten, der sich offenbar bis zu seinem Tod noch regelmässig mit einflussreichen LTTE-Leuten getroffen hat und der sich nur dank der - als Entschädigung für seine früheren Kampftätigkeiten erfolgten - finanziellen Hilfe der LTTE im Jahre 2006 eine Niere hat transplantieren lassen können, bei der erneuten Eskalation der Situation in Sri Lanka ins Blickfeld der sri-lankischen Sicherheitsbehörden gerückt ist. Die darauf abgestützten Nachstellungen sind daher - trotz der oben erwähnten Ungenauigkeiten - grundsätzlich als glaubhaft zu werten.</w:t>
      </w:r>
    </w:p>
    <w:p>
      <w:r>
        <w:rPr>
          <w:b/>
        </w:rPr>
        <w:t>E. 4.1.4</w:t>
      </w:r>
    </w:p>
    <w:p>
      <w:r>
        <w:t>Als Zwischenergebnis bleibt nach dem Gesagten mithin festzuhalten, dass der dargelegte Sachvortrag insgesamt glaubhaft geschildert wurde. Somit ist im Folgenden die Asylrelevanz der Ausführungen zu beurteilen.</w:t>
      </w:r>
    </w:p>
    <w:p>
      <w:r>
        <w:rPr>
          <w:b/>
        </w:rPr>
        <w:t>E. 4.2</w:t>
      </w:r>
    </w:p>
    <w:p>
      <w:r>
        <w:t>Die überwiegend glaubhaft geltend gemachten Probleme (sowohl der gewaltsame Tod des Ehemannes der Beschwerdeführerin sowie zweier weiterer Männer im Mai 2007 [vgl. eingereichter Zeitungsausschnitt] als auch die nachfolgenden Behelligungen) sind praxisgemäss vor dem Hintergrund der während des Bürgerkriegs herrschenden allgemein angespannten Situation zu betrachten. Nachdem im Jahre 2002 zwischen der sri-lankischen Regierung und der LTTE ein Waffenstillstand geschlossen worden war, kam es im Sommer 2006 zu einem Wiederaufflammen des innerstaatlichen Konflikts. Dieser Krieg ist indessen im Mai 2009 mit der Niederlage der LTTE zu Ende gegangen. Das Land befindet sich seither wieder unter Regierungskontrolle und es ist zu keinen terroristischen Anschlägen der LTTE oder ihnen nahe stehenden Gruppierungen mehr gekommen. Trotz dieser Verbesserung der allgemeinen Lage sind gewisse Personen auch nach Kriegsende weiterhin einer erhöhten Verfolgungsgefahr ausgesetzt. Dies betrifft namentlich der politischen Opposition verdächtigte Personen, kritisch auftretende Journalisten und Medienschaffende, Menschenrechtsaktivisten und regimekritische Vertreter von Nichtregierungsorganisationen,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8.1 - 8.5). Die Beschwerdeführerin hat sich gemäss eigenen Angaben nie politisch betätigt (vgl. A1 S. 8) und verfügt dadurch über kein (eigenes) politisches Profil. Dennoch kann nicht ausgeschlossen werden, dass sie als Witwe eines ehemaligen LTTE-Aktivisten (sowie als Tante und Schwägerin von früher bei den LTTE aktiven Personen; vgl. Beschwerde S. 2 f.) einer erhöhten Gefahr von Nachstellungen ausgesetzt ist. Sie machte indessen für die Zeit zwischen ihrem Wegzug von E._______ anfangs Juni 2007 und ihrer Ausreise aus Sri Lanka am 17. Juli 2010 keine konkret gegen sie gerichteten Verfolgungsmassnahmen geltend. Vielmehr erklärte sie, bis zur Ausreise nicht mehr gesucht worden zu sein (vgl. A10 S. 18). Es ist daher davon auszugehen, dass der Kausalzusammenhang zwischen den geltend gemachten - und als überwiegend glaubhaft erachteten - Verfolgungsmassnahmen Ende Mai / anfangs Juni 2007 und der gut drei Jahre später erfolgten Flucht unterbrochen ist und die Beschwerdeführerin im Falle ihrer Rückkehr nach Sri Lanka im jetzigen Zeitpunkt keine begründete Furcht vor asylbeachtlicher Verfolgung im Sinne von Art. 3 AsylG (mehr) hat.</w:t>
      </w:r>
    </w:p>
    <w:p>
      <w:r>
        <w:rPr>
          <w:b/>
        </w:rPr>
        <w:t>E. 4.3</w:t>
      </w:r>
    </w:p>
    <w:p>
      <w:r>
        <w:t>Zusammenfassend ergibt sich, dass die Vorbringen der Beschwerdeführerin - ungeachtet ihrer Glaubhaftigkeit - den Anforderungen an die Flüchtlingseigenschaft nicht standhalten. Die im vorinstanzlichen Verfahren eingereichten Beweismittel (vgl. oben Bst. A.d des Sachverhalts) sind dabei nicht geeignet, zu einer anderen Beurteilung des Sachverhaltes zu führen. Die Identitätskarte, die Geburtsurkunden, der Ehe- und der Todesschein betreffen nicht bestrittene Umstände (die Identität der Beschwerdeführerin und ihrer Angehörigen), und die "Human Rights Commission of Sri Lanka" bestätigt lediglich, dass am 12. Juni 2007 eine Beschwerde eingereicht worden war. Letztere Bestätigung ist indessen - wie auch der Ausweis der Organisation und der Zeitungsartikel - ebenfalls nicht geeignet, eine aktuelle Verfolgungssituation der Beschwerdeführerin nachzuweisen. Es kann darauf verzichtet werden, auf die übrigen Erwägungen der Vorinstanz und auf die weiteren Darlegungen in der Beschwerdeschrift näher einzugehen. Das Asylgesuch wurde vom Bundesamt nach dem Gesagten zwar mit nicht zutreffender Begründung, im Ergebnis jedoch zu Recht abgewiesen. Es besteht daher keine Veranlassung, die Verfügung des BFM vom 13. Mai 2011 im Asylpunkt aufzuheben und die Sache zur Neubeurteilung an die Vorinstanz zurückzuweisen. Das entsprechende Eventualbegehren ist abzuweisen. Lehnt das Bundesamt das Asylgesuch ab oder tritt es darauf nicht ein, so verfügt es in der Regel die Wegweisung aus der Schweiz und ordnet den Vollzug an (Art. 44 Abs. 1 AsylG). Die Beschwerdeführerinnen verfügen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 Weil sich vorliegend der Vollzug der Wegweisung - aus den nachfolgende aufgezeigten Gründen - als unzumutbar erweist, ist dementsprechend auf eine Erörterung der beiden anderen Kriterien zu verzichten.</w:t>
      </w:r>
    </w:p>
    <w:p>
      <w:r>
        <w:rPr>
          <w:b/>
        </w:rPr>
        <w:t>E. 6.2</w:t>
      </w:r>
    </w:p>
    <w:p>
      <w:r>
        <w:t>Gemäss Art. 83 Abs. 4 AuG kann der Vollzug der Wegweisung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Im bereits erwähnten Urteil BVGE 2011/24 vom 27. Okto­ber 2011 hat das Bundesverwaltungsgericht eine aktuelle Analyse der allgemeinen, heute herrschenden Sicherheits- und politischen Lage in Sri Lanka vorgenommen und die in BVGE 2008/2 publizierte Wegweisungsvollzugspraxis teilweise angepasst.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ergeben sich aus den Verfahrensakten konkrete Hinweise,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6.2.2</w:t>
      </w:r>
    </w:p>
    <w:p>
      <w:r>
        <w:t>Die Beschwerdeführerinnen stammen aus dem Distrikt Mullaitivu, welcher im "Vanni-Gebiet" liegt. Von Juli 2009 bis zu ihrer Ausreise im Juni 2010 hätten sie jedoch in K._______/Vavuniya, ausserhalb des "Vanni-Gebietes", gelebt. Die beiden anderen Kinder der Beschwerdeführerin sollen bei der Grossmutter in H._______ (Distrikt Mullaitivu) beziehungsweise bei einem Verwandten in I._______/Vanvuniya leben. In Vavuniya soll auch S. R., die ältere Schwester der Beschwerdeführerin, wohnen (vgl. A1 S. 4). Sodann hat die Beschwerdeführerin während acht Jahren die Schule besucht und mehrere Jahre lang auf einer Kokosnussplantage gearbeitet (vgl. A1 S. 3). In der Beschwerdeschrift (vgl. S. 4 f.) wird geltend gemacht, das Haus der Beschwerdeführerin in H._______ sowie auch die Kokosnussbäume, mit denen ein bescheidenes Einkommen habe erzielt werden können, seien zerstört worden. Die Mutter sei zusammen mit den beiden älteren Kindern der Beschwerdeführerin ins "Vanni-Gebiet" zurückgekehrt, wo sie "unter sehr ärmlichen Bedingungen in einer behelfsmässig erbauten Hütte" lebten. Ihre Schwester S. R. sei ebenfalls verwitwet und wohne in Vavuniya "in bescheidensten Verhältnissen". Auch die Kollegin, die ihr unmittelbar vor der Ausreise Unterkunft gewährt habe, könne sie nicht mehr beherbergen. Wie erwähnt ist der Vollzug der Wegweisung in die Heimatregion der Beschwerdeführerin, das "Vanni-Gebiet", wo auch die Kokosplantage gewesen sei, nicht zumutbar. Immerhin hat die Beschwerdeführerin während einiger Monate in Vavuniya gelebt und verfügt dort über eine Schwester. Zwar erscheint es denkbar, dass die Beschwerdeführerinnen im Falle einer Rückkehr dorthin vorübergehend mit der finanziellen Unterstützung ihrer im Ausland wohnhaften Verwandten (Bruder der Beschwerdeführerin in Kanada, Nichte in Norwegen, Cousine in der Schweiz; vgl. A1 S. 4 f.) rechnen können. Dessen ungeachtet erscheint es jedoch - insbesondere auch angesichts der schwierigen Lebens- und Wohnverhältnisse, in welchen sich ihre in der Heimat verbliebenen Angehörigen befinden - sehr unwahrscheinlich, dass sich die Beschwerdeführerinnen ausserhalb ihrer Heimatregion eine dauerhafte wirtschaftliche Existenz aufbauen können. Neben wirtschaftlichen Existenzproblemen hätte eine Rückschaffung der Beschwerdeführerinnen möglicherweise auch eine Gefährdung ihrer persönlichen Sicherheit zur Folge, zumal gemäss den Erkenntnissen des Bundesverwaltungsgerichts allein lebende (und somit die Funktion des "Familienoberhauptes" ausübende) Frauen in Sri Lanka - und insbesondere in Regionen mit hoher Militärpräsenz - sexuellen Übergriffen schutzlos ausgeliefert sind. Schliesslich ist auch das Vorhandensein einer innerstaatlichen Aufenthaltsalternative im übrigen Staatsgebiet, namentlich im Grossraum Colombo, zu verneinen. Die Beschwerdeführerinnen haben den Akten zufolge - mit Ausnahme von wenigen Wochen, während denen sie sich vor ihrer Ausreise in L._______/Colombo versteckt haben wollen (vgl. A1 S. 8 f.) - nie dort gelebt, verfügen in dieser Region weder über Verwandte noch Bekannte und haben auch keine Kenntnisse der singhalesischen Sprache (vgl. A1 S. 4).</w:t>
      </w:r>
    </w:p>
    <w:p>
      <w:r>
        <w:rPr>
          <w:b/>
        </w:rPr>
        <w:t>E. 6.2.3</w:t>
      </w:r>
    </w:p>
    <w:p>
      <w:r>
        <w:t>Bei dieser Sachlage stellt sich der Vollzug der Wegweisung der Beschwerdeführerinnen nach Sri Lanka - entgegen der Auffassung der Vorinstanz - zum gegenwärtigen Zeitpunkt als unzumutbar im Sinne von Art. 83 Abs. 4 AuG dar.</w:t>
      </w:r>
    </w:p>
    <w:p>
      <w:r>
        <w:rPr>
          <w:b/>
        </w:rPr>
        <w:t>E. 7</w:t>
      </w:r>
    </w:p>
    <w:p>
      <w:r>
        <w:t>Die mit Eingabe vom 17. Juni 2011 angehobene Beschwerde ist nach den vorstehenden Erwägungen hinsichtlich des Vollzugs der Wegweisung gutzuheissen. Im Übrigen (hinsichtlich der Nichtzuerkennung der Flüchtlingseigenschaft und der Verweigerung des Asyls sowie der Wegweisung an sich) ist sie abzuweisen. Die Ziffern 4 und 5 des Dispositivs der Verfügung des Bundesamtes sind aufzuheben und das BFM ist anzuweisen, die Beschwerdeführerinnen wegen gegenwärtiger Unzumutbarkeit vorläufig aufzunehmen. Einer vorläufigen Aufnahme stehen im Übrigen auch keine einschränkenden gesetzlichen Tatbestände (Art. 83 Abs. 7 AuG) entgegen.</w:t>
      </w:r>
    </w:p>
    <w:p>
      <w:r>
        <w:rPr>
          <w:b/>
        </w:rPr>
        <w:t>E. 8.1</w:t>
      </w:r>
    </w:p>
    <w:p>
      <w:r>
        <w:t>Bei diesem Ausgang des Verfahrens wären die praxisgemäss um die Hälfte auf Fr. 300.- zu reduzierenden Kosten den Beschwerdeführerinnen aufzuerlegen (Art. 63 Abs. 1 und 5 VwVG und Art. 1-3 des Reglements vom 21. Februar 2008 über die Kosten und Entschädigungen vor dem Bundesverwaltungsgericht [VGKE, SR 173.320.2]). Nachdem das vorliegende Beschwerdeverfahren jedoch nicht als aussichtslos bezeichnet werden konnte und die Beschwerdeführerin in der Schweiz zur Zeit keiner bezahlten Tätigkeit nachgeht (so dass von ihrer Bedürftigkeit ausgegangen werden kann), sind in Gutheissung des in der Beschwerde vom 17. Juni 2011 gestellten, bis anhin noch nicht behandelten Gesuches um Gewährung der unentgeltlichen Prozessführung (Art. 65 Abs. 1 VwVG) keine Verfahrenskosten aufzuerlegen.</w:t>
      </w:r>
    </w:p>
    <w:p>
      <w:r>
        <w:rPr>
          <w:b/>
        </w:rPr>
        <w:t>E. 8.2</w:t>
      </w:r>
    </w:p>
    <w:p>
      <w:r>
        <w:t>Die Beschwerdeinstanz kann der ganz oder teilweise obsiegenden Partei von Amtes wegen oder auf Begehren eine Entschädigung für ihr erwachsene notwendige und verhältnismässig hohe Kosten zusprechen. Die Vertreterin der Beschwerdeführerinnen hat bisher keine Honorarnote eingereicht. Der notwendige Verwaltungsaufwand lässt sich indes aufgrund der Aktenlage zuverlässig abschätzen, weshalb auf die Einholung einer solchen verzichtet werden kann (Art. 14 Abs. 2 in fine VGKE). In Anwendung der genannten Bestimmungen und unter Berücksichtigung der massgeblichen Bemessungsfaktoren (Art. 8 ff. VGKE) ist die von der Vorinstanz auszurichtende reduzierte Parteientschädigung demnach von Amtes wegen auf Fr. 500.- (inkl. Auslagen und Mehrwertsteuer) festzusetzen. Das BFM ist somit anzuweisen, den Beschwerdeführerinnen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