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D-342/2013 vom 16. Oktober 2013</w:t>
      </w:r>
    </w:p>
    <w:p>
      <w:r>
        <w:t>Bundesverwaltungsgericht, 2013-10-16, DE</w:t>
      </w:r>
    </w:p>
    <w:p>
      <w:r>
        <w:rPr>
          <w:b/>
        </w:rPr>
        <w:t xml:space="preserve">Quelle: </w:t>
      </w:r>
      <w:r>
        <w:t>https://mcp.opencaselaw.ch/entscheid/bvger_D-342_2013</w:t>
      </w:r>
    </w:p>
    <w:p>
      <w:r>
        <w:t>FR: TAF D-342/2013 du 16 octobre 2013</w:t>
      </w:r>
    </w:p>
    <w:p>
      <w:r>
        <w:t>IT: TAF D-342/2013 del 16 ottobre 2013</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 was vorliegend nicht der Fall ist -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w:t>
      </w:r>
    </w:p>
    <w:p>
      <w:r>
        <w:rPr>
          <w:b/>
        </w:rPr>
        <w:t>E. 1.2</w:t>
      </w:r>
    </w:p>
    <w:p>
      <w:r>
        <w:t>Auf dem Gebiet des Asyls können mit Beschwerde die Verletzung von Bundesrecht, die unrichtige oder unvollständige Feststellung des rechtser­heblichen Sachverhalts und die Unangemessenheit gerügt wer­den (Art. 106 Abs. 1 AsylG).</w:t>
      </w:r>
    </w:p>
    <w:p>
      <w:r>
        <w:rPr>
          <w:b/>
        </w:rPr>
        <w:t>E. 1.3</w:t>
      </w:r>
    </w:p>
    <w:p>
      <w:r>
        <w:t>Das Verfahren richtet sich nach dem VwVG, dem VGG und dem BGG, soweit das AsylG nichts anderes bestimmt (Art. 37 VGG und Art. 6 AsylG).</w:t>
      </w:r>
    </w:p>
    <w:p>
      <w:r>
        <w:rPr>
          <w:b/>
        </w:rPr>
        <w:t>E. 1.4</w:t>
      </w:r>
    </w:p>
    <w:p>
      <w:r>
        <w:t>Der Beschwerdeführer ist legitimiert (Art. 48 Abs. 1 VwVG) und die Ein­gabe vom 24. Dezember 2012 frist- und formgerecht (Art. 108 Abs. 1 AsylG und Art. 52 Abs. 1 VwVG), womit auf die Beschwerde einzutreten ist.</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 welches ein Asylgesuch aus dem Ausland nach altem Recht zum Ge­genstand hat -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 Wird demnach nachfolgend auf eine dieser Bestimmung oder auf die Asylverordnung 1 verwiesen, bezieht sich dies stets auf die bisherige Fassung der entsprechenden Bestimmungen.</w:t>
      </w:r>
    </w:p>
    <w:p>
      <w:r>
        <w:rPr>
          <w:b/>
        </w:rPr>
        <w:t>E. 3.1</w:t>
      </w:r>
    </w:p>
    <w:p>
      <w:r>
        <w:t>Ein Asylgesuch kann gemäss Art. 19 Abs. 1 AsylG im Ausland bei ei­ner schweizerischen Vertretung gestellt werden, die es an das Bundes­amt überweist (Art. 20 Abs. 1 AsylG). Hinsichtlich des Verfahrens sieht Art. 10 Abs. 1 der Asylverordnung 1 vom 11. August 1999 (AsylV 1, SR 142.311) vor, dass die schweizerische Vertretung mit der asylsuchen­den Person in der Regel eine Befragung durchführt. Ist dies nicht mög­lich, sind die Asylgründe schriftlich festzuhalten (Art. 10 Abs. 2 AsylV 1).</w:t>
      </w:r>
    </w:p>
    <w:p>
      <w:r>
        <w:rPr>
          <w:b/>
        </w:rPr>
        <w:t>E. 3.2</w:t>
      </w:r>
    </w:p>
    <w:p>
      <w:r>
        <w:t>Der Umstand, dass das vorliegende Asylgesuch nicht bei einer schweize­rischen Vertretung im Ausland gestellt, sondern direkt beim BFM eingereicht wurde, ist nicht massgeblich (vgl. dazu BVGE 2011/39 E. 3). Das BFM hat die Eingabe vom 29. April 2011 zu Recht als Asylgesuch aus dem Ausland entgegengenommen. Ein grundsätzlicher Man­gel des Ge­suches vom 29. April 2011 - das Fehlen einer erkennbaren persönli­chen Willensbekundung des Beschwerdeführers - wurde im Ver­lauf des erstinstanzlichen Verfahrens behoben, indem zuerst eine Voll­macht des Be­schwerdeführers und später ein persönliches Begründungsschreiben nachgereicht wurden (vgl. dazu BVGE 2011/39 E. 4). Im Weite­ren ist vor dem Hintergrund der massgeblichen Praxis zur Behandlung von Asylgesu­chen aus dem Ausland und Einreisebewilligung sowie unter Be­rücksichtigung der Aktenlage festzustellen, dass in vorliegender Sache auf eine Befragung des Beschwerdeführers durch die schweizerische Ver­tretung in Tel Aviv verzichtet werden durfte und von der Vorinstanz mit der Einladung zur Stellungnahme vom 14. Juni 2012 den massgeblichen verfahrensrechtlichen Anforderungen Genüge getan wurde (vgl. dazu BVGE 2007/30 E. 5). Schliesslich wurde im Rahmen der Eingabe vom 10. August 2012 zu dem vom Bundesamt aufgeworfenen Fragen einläss­lich Stellung genommen, womit der Beschwerdeführer die Möglichkeit ge­nutzt hat, seine Gesuchsgründe darzulegen.</w:t>
      </w:r>
    </w:p>
    <w:p>
      <w:r>
        <w:rPr>
          <w:b/>
        </w:rPr>
        <w:t>E. 4.1</w:t>
      </w:r>
    </w:p>
    <w:p>
      <w:r>
        <w:t>Das Bundesamt bewilligt Asylsuchenden die Einreise in die Schweiz zur Abklärung des Sachverhalts, wenn ihnen nicht zugemutet werden kann, im Wohnsitz- oder Aufenthaltsstaat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4.3</w:t>
      </w:r>
    </w:p>
    <w:p>
      <w:r>
        <w:t>Der Beschwerdeführer macht eine eigene Gefährdung im Sinne von Art. 3 AsylG i.V.m. Art. 20 AsylG geltend, indem er vorbringt, er sei aus dem Militärdienst desertiert. Das BFM hält in der angefochtenen Verfü­gung, ohne auf diese Vorbringen näher einzugehen, fest, seine Vorbrin­gen würden darauf schliessen lassen, dass er in Eritrea ernstzuneh­mende Schwierigkeiten mit den heimatlichen Behörden gehabt habe. Die Vorinstanz geht mithin implizit vom Vorliegen einer Gefährdung im Heimat­land im Sinne von Art. 3 AsylG aus. Bei der anschliessenden Prü­fung des Asylausschlussgrundes von Art 52 Abs. 2 AsylG bejaht sie je­doch die Zumutbarkeit eines Verbleibs in Israel.</w:t>
      </w:r>
    </w:p>
    <w:p>
      <w:r>
        <w:rPr>
          <w:b/>
        </w:rPr>
        <w:t>E. 4.4</w:t>
      </w:r>
    </w:p>
    <w:p>
      <w:r>
        <w:t>In einem nächsten Schritt ist zu prüfen, ob der Beschwerdeführer in Israel den Schutz eines Drittstaates geniesst und ihm zuzumuten ist, dort zu verbleiben.</w:t>
      </w:r>
    </w:p>
    <w:p>
      <w:r>
        <w:rPr>
          <w:b/>
        </w:rPr>
        <w:t>E. 4.4.1</w:t>
      </w:r>
    </w:p>
    <w:p>
      <w:r>
        <w:t>Die Voraussetzungen für die Erteilung einer Einreisebewilligung sind grundsätzlich restriktiv umschrieben. Den Asylbehörden kommt da­bei ein weiter Ermessensspielraum zu. Neben der erforderlichen Gefähr­dung im Sinne von Art. 3 AsylG sind mit Blick auf den Ausschlussgrund von Art. 52 Abs. 2 AsylG namentlich die Beziehungsnähe zur Schweiz und zu anderen Staaten, die Möglichkeit der Schutzgewährung durch ei­nen anderen Staat, die praktische und objektive Zumutbarkeit einer ander­weitigen Schutzsuche sowie die voraussichtlichen Eingliederungs- und Assimilationsmöglichkeiten in Betracht zu ziehen (vgl. BVGE 2011/10 E. 3.3, mit weiteren Hinweisen).</w:t>
      </w:r>
    </w:p>
    <w:p>
      <w:r>
        <w:rPr>
          <w:b/>
        </w:rPr>
        <w:t>E. 4.4.2</w:t>
      </w:r>
    </w:p>
    <w:p>
      <w:r>
        <w:t>Hält sich die asylsuchende Person wie im vorliegenden Verfahren in einem Drittstaat auf, ist zwar im Sinne der Vermutung davon auszugehen, sie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in Entscheidungen und Mitteilun­gen der Schweizerischen Asylrekurskommission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wesentliches Kriterium (vgl. BVGE 2011/10 E.5.1, mit weiteren Hinweisen).</w:t>
      </w:r>
    </w:p>
    <w:p>
      <w:r>
        <w:rPr>
          <w:b/>
        </w:rPr>
        <w:t>E. 4.4.3</w:t>
      </w:r>
    </w:p>
    <w:p>
      <w:r>
        <w:t>Das Kriterium der besonderen Beziehungsnähe ist hinsichtlich des Verwandtschaftsgrades nicht auf den eng gefassten Personenkreis des Fa­milienasyls gemäss Art. 51 AsylG beschränkt. Auch verwandtschaftli­che Beziehungen zu Personen ausserhalb der Kernfamilie sind in die Abwä­gung mit einzubeziehen. Ferner ist nicht ausgeschlossen, dass gege­benenfalls auch aus anderen Gründen als aufgrund einer Verwandt­schaft zu in der Schweiz lebenden Personen eine enge Beziehung zur Schweiz anzuneh­men sein könnte (vgl. EMARK 2004 Nr. 21. E. 4.b.aa S. 140, EMARK 1997 Nr. 15 E. 2g S. 132). Zu berücksichtigen sind zu­dem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 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4.4.4</w:t>
      </w:r>
    </w:p>
    <w:p>
      <w:r>
        <w:t>Das BFM führt in seiner Verfügung zur Situation des Beschwerdefüh­rers in Israel insbesondere aus, ge­mäss gesicherten Kennt­nissen des Amtes hätten eritreische Staatsangehö­rige im Allgemei­nen wie auch der Beschwerdeführer persön­lich den Schutzstatus für Grup­pen. Sie seien daher nicht von einer Rückführung bedroht. Grundsätz­lich respektiere Israel das Non-Refoulement-Prinzip. Demgegen­über ergäben sich in Israel gewisse Schwierigkeiten für eritrei­sche Flüchtlinge namentlich bei der Arbeitssu­che; insgesamt sei es für den Beschwerdeführer aber möglich, vor Ort eine men­schenwürdige Exis­tenz zu führen.</w:t>
      </w:r>
    </w:p>
    <w:p>
      <w:r>
        <w:rPr>
          <w:b/>
        </w:rPr>
        <w:t>E. 4.4.5</w:t>
      </w:r>
    </w:p>
    <w:p>
      <w:r>
        <w:t>Der Beschwerdeführer macht zwar nicht geltend, es bestehe eine kon­krete Gefahr der Abschiebung ins Heimatland. Das Verhalten der israeli­schen Behörden führe aber zu grosser Rechtsunsicherheit in der erit­reischen Diaspora. Nebst prekären Aufenthaltsbedingungen sei nament­lich auch die rassistische Haltung gewisser israeli­scher Kreise problematisch.</w:t>
      </w:r>
    </w:p>
    <w:p>
      <w:r>
        <w:rPr>
          <w:b/>
        </w:rPr>
        <w:t>E. 4.4.6</w:t>
      </w:r>
    </w:p>
    <w:p>
      <w:r>
        <w:t>Was die Situation von Asylsuchenden und Flüchtlingen in Israel anbe­langt, lässt sich Folgendes festhalten: Bis 2005 gab es jährlich nur eine sehr geringe Anzahl Asylgesuche. Seither sind die Zahlen aber mar­kant ge­stiegen. Im Jahr 2011 sollen knapp 17'000 Personen via Ägypten nach Israel gelangt sein, davon 96% eritreische und sudanesische Staatsangehörige. Das Land kennt erst seit 2009 ein nationales Asylverfahren; zuvor war das UNHCR für die Gesuche zuständig. Seit der Gründung Israels im Jahr 1948 haben 200 Personen einen Flüchtlingsstatus erhalten; seit 2005 wurden 30 Perso­nen als Flüchtlinge anerkannt (vgl. SFH-Länderanalyse Eritrea: Situa­tion eritreischer Flüchtlinge in Israel, vom 13. August 2012 S. 1 f.). Neu­ankömmlinge werden in Immigrationshaft genommen. Die Zahl der Haftplätze wird kontinuierlich erhöht (a.a.O. S. 2). Gemäss UNHCR - verwiesen wird dabei allerdings nicht auf eine UNHCR-Publikation, sondern auf den Bericht von Human Rights Watch: Israel: Amend 'Anti-Infiltration-Law', vom 10. Juni 2012, welcher diese Auskunft dem UNHCR ohne Quellenangabe zuschreibt - wurden im Jahr 2011 4603 Asylgesuche geprüft und davon 3692 Gesuche abgelehnt; ande­ren Quellen zufolge wurden von 990 Gesuchen 8 positiv entschie­den (a.a.O. S. 3). In den Jahren 2009 und 2010 war ebenfalls eine sehr geringe Gutheis­sungs­quote zu verzeichnen. Ohnehin haben aber der grösste Teil der Asylsuchenden keinen Zugang zur Asylprüfung. Personen aus Eritrea und dem Sudan erhalten zwar Schutz entsprechend dem Non-Refoule­ment-Gebot. Die damit verbundene Ausstellung einer "Conditional Re­lease" ohne Arbeitserlaubnis ist jeweils für drei Monate gültig; die Verlänge­rung ist oftmals mit langen Wartezeiten und Schikanen der israeli­schen Behörden verbunden (vgl. a.a.O. S. 3 f.). Am 10. Januar 2012 verabschiedete das israelische Parlament Ergänzun­gen zum Prevention of Infiltration Law. In diesem Gesetz werden nun­mehr alle Ausländer, die illegal einreisen, als "Eindringlinge" bezeichnet. Das Gesetz erlaubt den israelischen Behörden, Asylsuchende und deren Kinder bis zu drei Jahren zu inhaftieren. Die Inhaftierten haben keinen Zu­gang zu einem Anwalt. Der Inhaftierungsentscheid wird erstmals nach 14 Tagen und in der Folge alle 60 Tage überprüft. Auch ein Asylsuchender kann wegen "Infiltration" strafrechtlich verfolgt und zu einer mehrjährigen Gefängnisstrafe verurteilt werden (a.a.O. S. 6 f.). Gemäss Aussagen der israelischen Regierungsspitze kommen Deportatio­nen von eritreischen Asylsuchenden zwar aktuell nicht in Be­tracht. Für deren Unterbringung sollen indes die Kapazitäten im Saharo­nim-Gefängnis von Negev vergrössert werden. Überdies äusserte sich ein anderes Regierungsmitglied in einem Radiointerview zur Situation der Eritreer; dabei legte es dar, es gehe davon aus, dass deren Deportation in Zukunft möglich sein werde. Es bekräftigte seine Hoffnung, dass Eritreer, die ein Conditional-Release-Dokument hätten, bald aus Tel Aviv und ande­ren Städten entfernt und im Haftzentrum von Negev untergebracht wer­den könnten. Generell haben Hetzkampagnen von Knesset-Abgeordne­ten und hochrangigen Beamten gegen Afrikaner erheblich zugenommen. In der Folge kam es zu schwerwiegenden Übergriffen (a.a.O. S. 8 ff.; vgl. auch HRW, a.a.O.). Einer neusten Quelle zufolge hat sich die Situation für eritrei­sche Asylsuchende in Israel offenbar noch verschärft. Wiederholt sollen Asylsuchende inhaftiert und unter Drohungen zur Ausreise genötigt wor­den sein. Auch Personen, welche schon während Jahren dort lebten, sol­len in Haft genommen worden sein (vgl. Human Rights Watch, Israel: Detai­ned Asylum Seekers Pressured to Leave, vom 13. März 2013).</w:t>
      </w:r>
    </w:p>
    <w:p>
      <w:r>
        <w:rPr>
          <w:b/>
        </w:rPr>
        <w:t>E. 4.4.7</w:t>
      </w:r>
    </w:p>
    <w:p>
      <w:r>
        <w:t>Es ist mit dem BFM darin einig zu gehen, dass der Beschwerdefüh­rer - zumindest gemäss seinen Vorbringen - nicht konkret von einer Aus­schaffung nach Eritrea bedroht ist. Insoweit muss er zumindest vorläufig mutmasslich nicht mit einer Rückführung ins Heimatland rechnen. Die prekä­ren Lebensumstände betreffend Wohnung und Arbeit vermögen für sich allein besehen die Unzumutbarkeit der Schutzinanspruchnahme vor Ort nicht zu begründen. Hingegen besteht gemäss verfügbaren Quellen die reale Gefahr, dass er in Haft genommen, in einem Haftzentrum für län­gere Zeit festgehalten und zur Ausreise genötigt wird (vgl. HRW vom 13. März 2013, a.a.O., wo von der beabsichtigten Inhaftierung von Tausen­den von Eritreern die Rede ist). Demzufolge ist es ihm objektiv kaum zumut­bar, weiterhin in Israel zu verbleiben (vgl. zum Ganzen auch EMARK 2005 Nr. 19 E. 5.3). Die voraussichtlichen Eingliederungs- und Assimilationsmöglichkeiten in Israel müssen jedenfalls als marginal bezeichnet wer­den.</w:t>
      </w:r>
    </w:p>
    <w:p>
      <w:r>
        <w:rPr>
          <w:b/>
        </w:rPr>
        <w:t>E. 4.4.8</w:t>
      </w:r>
    </w:p>
    <w:p>
      <w:r>
        <w:t>Zu prüfen bleibt dabei, ob es aufgrund der gesamten Umstände geboten erscheint, dass es gerade die Schweiz ist, die dem Beschwerdeführer den notwendigen Schutz zukommen lassen soll. Bei dieser Abwägung bildet die besondere Beziehungsnähe der asylsuchenden Person zur Schweiz ein zentrales, wenn auch - wie vorne in E. 4.4.1-4.4.3 ausgeführt - nicht das einzige Kriterium (vgl. EMARK 2004 Nr. 21 E. 4.b.aa). Der Beschwerdeführer hat in der Person seines zehn Jahre älteren Bruders, der seit fünf Jahren in der Schweiz wohnt und hier aufenthaltsberechtigt ist, einen Bezug zur Schweiz. Diese gewisse Beziehungsnähe zur Schweiz und die wegen der Beziehung zum Bruder anzunehmende erleichterte Assimilationsfähigkeit des (...)-jährigen Beschwerdeführers bilden in Verbindung mit seiner prekären Lebenssituation in Israel, welche faktisch als einziges Recht den Anspruch auf Einhaltung des Non-Refoulement-Gebotes durch Israel beinhaltet, vorliegend eine genügende Grundlage, um seinen Verbleib in Israel als unzumutbar zu qualifizieren. Das BFM hat die Ausschlussklausel nach Art. 52 Abs. 2 AsylG folglich zu Unrecht an­gewendet.</w:t>
      </w:r>
    </w:p>
    <w:p>
      <w:r>
        <w:rPr>
          <w:b/>
        </w:rPr>
        <w:t>E. 4.5</w:t>
      </w:r>
    </w:p>
    <w:p>
      <w:r>
        <w:t>Aus den vorstehenden Erwägungen beziehungsweise dem ihnen zugrundeliegenden Sachverhalt geht hervor, dass dem Beschwerdeführer die Einreise in die Schweiz zur Durchführung des ordentlichen Asylverfah­rens zu bewilligen ist.</w:t>
      </w:r>
    </w:p>
    <w:p>
      <w:r>
        <w:rPr>
          <w:b/>
        </w:rPr>
        <w:t>E. 5.1</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Der not­wendige Vertre­tungsaufwand lässt sich aufgrund der Ak­ten­lage hin­reichend zu­verläs­sig abschätzen, weshalb sich die Nachreichung einer Kostennote erüb­rigt. Die von der Vorinstanz aus­zu­rich­tende Parteientschä­digung ist un­ter Berück­sichtigung der mass­ge­ben­den Be­mes­sungsfaktoren von Am­tes wegen auf Fr. 1'200.-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