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D-3429/2014 vom 15. September 2014</w:t>
      </w:r>
    </w:p>
    <w:p>
      <w:r>
        <w:t>Bundesverwaltungsgericht, 2014-09-15, DE</w:t>
      </w:r>
    </w:p>
    <w:p>
      <w:r>
        <w:rPr>
          <w:b/>
        </w:rPr>
        <w:t xml:space="preserve">Quelle: </w:t>
      </w:r>
      <w:r>
        <w:t>https://mcp.opencaselaw.ch/entscheid/bvger_D-3429_2014</w:t>
      </w:r>
    </w:p>
    <w:p>
      <w:r>
        <w:t>FR: TAF D-3429/2014 du 15 septembre 2014</w:t>
      </w:r>
    </w:p>
    <w:p>
      <w:r>
        <w:t>IT: TAF D-3429/2014 del 15 settembre 2014</w:t>
      </w:r>
    </w:p>
    <w:p>
      <w:pPr>
        <w:pStyle w:val="Heading2"/>
      </w:pPr>
      <w:r>
        <w:t>Regeste</w:t>
      </w:r>
    </w:p>
    <w:p>
      <w:r>
        <w:t>Visum aus humanitären Gründen (Asyl)</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Der Beschwerdeführer ist gemäss Art. 48 Abs. 1 VwVG zur Beschwerde legitimiert.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mit weiteren Hinweisen).</w:t>
      </w:r>
    </w:p>
    <w:p>
      <w:r>
        <w:rPr>
          <w:b/>
        </w:rPr>
        <w:t>E. 3.2</w:t>
      </w:r>
    </w:p>
    <w:p>
      <w:r>
        <w:t>Als eritreischer Staatsangehöriger kann sich der Beschwerdeführer nicht auf die EU/EFTA-Personenfreizügigkeitsabkommen berufen. Vielmehr untersteht die Beurteilung seines Gesuchs dem Anwendungsbereich der Schengen-Assoziierungsabkommen, mit denen die Schweiz den Schengen-Besitzstand und die dazugehörigen gemeinschaftsrechtlichen Rechtsakte übernommen hat. Das Schengen-Recht schränkt die national­staatlichen Befugnisse insoweit ein, als es einheitliche Voraussetzungen für Einreise beziehungsweise Visum aufstellt und die Mitgliedstaaten verpflichtet, die Einreise beziehungsweise das Visum zu verweigern, wenn die Voraussetzungen nicht erfüllt sind. Das Ausländergesetz und seine Ausführungsverordnung gelangen nur soweit zur Anwendung, als die Schengen-Assoziierungsabkommen keine abweichenden Bestimmungen enthalten (Art. 2 Abs. 2-5 AuG).</w:t>
      </w:r>
    </w:p>
    <w:p>
      <w:r>
        <w:rPr>
          <w:b/>
        </w:rPr>
        <w:t>E. 3.3</w:t>
      </w:r>
    </w:p>
    <w:p>
      <w:r>
        <w:t>Angehörige von Staaten, die nicht Teil des Schengen-Raumes sind (sog. Drittstaaten), dürfen über die Aussengrenzen des Schengen-Raums für einen Aufenthalt von höchstens drei Monaten je Sechsmonatszeitraums einreisen, wenn sie im Besitz gültiger Reisedokumente sind, die zum Grenzübertritt berechtigen. Ob sie darüber hinaus ein Visum benötigen, bestimmt sich nach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(nachfolgend: VO Nr. 539/2001).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SGK, ABl. L 105 vom 13. April 2006, S. 1-32 [geändert durch Art. 2 der Verordnung {EU} Nr. 265/2010 vom 25. März 2010, ABl. L 85 vom 31. März 2010, S. 1-4], Art. 14 Abs. 1 Bst. a-c und Art. 21 Abs. 1 Visakodex).</w:t>
      </w:r>
    </w:p>
    <w:p>
      <w:r>
        <w:rPr>
          <w:b/>
        </w:rPr>
        <w:t>E. 3.4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 Abs. 4 und Art. 12 Abs. 4 VEV, Art. 25 Abs. 1 Bst. a Visakodex, ebenso Art. 5 Abs. 4 Bst. c SGK).</w:t>
      </w:r>
    </w:p>
    <w:p>
      <w:r>
        <w:rPr>
          <w:b/>
        </w:rPr>
        <w:t>E. 4</w:t>
      </w:r>
    </w:p>
    <w:p>
      <w:r>
        <w:t>Der Beschwerdeführer unterliegt als eritreischer Staatsangehöriger ge­mäss Art. 1 Abs. 1 VO Nr. 539/2001 i.V.m. Anhang I einer Visumspflicht für den Schengen-Raum. Im Beschwerdeverfahren wird nicht bestritten, dass die bereits in der angefochtenen Verfügung geprüften Voraussetzungen für die Erteilung eines solchen Schengen-Visums vorliegend nicht erfüllt sind, sondern beantragt, dem Beschwerdeführer sei ein Visum aus humanitären Gründen zu erteilen. Da nicht davon ausgegangen werden kann, dass der Beschwerdeführer nach Ablauf des Visums fristgerecht wieder aus dem Schengen-Raum ausreisen würde, fällt die Erteilung eines Visums mit Gültigkeit für den gesamten Schengen-Raum nicht in Betracht. Es bleibt somit nachfolgend einzig zu prüfen, ob das BFM auch die Erteilung eines Einreisevisums aus humanitären Gründen zu Recht verweigert hat.</w:t>
      </w:r>
    </w:p>
    <w:p>
      <w:r>
        <w:rPr>
          <w:b/>
        </w:rPr>
        <w:t>E. 5.1</w:t>
      </w:r>
    </w:p>
    <w:p>
      <w:r>
        <w:t>Mit der dringlichen Änderung des Asylgesetzes vom 28. September 2012 (AS 2012 5359), welche am 29. September 2012 in Kraft trat, wurden unter anderem die Bestimmungen betreffend die Einreichung von Asylgesuchen aus dem Ausland aufgehoben. Da im Einzelfall jedoch nicht ausgeschlossen werden kann, dass Personen, welche Schutz vor asylrechtlich relevanter Verfolgung geltend machen, bei den schweizerischen Vertretungen vorsprechen und um die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w:t>
      </w:r>
    </w:p>
    <w:p>
      <w:r>
        <w:rPr>
          <w:b/>
        </w:rPr>
        <w:t>E. 5.2</w:t>
      </w:r>
    </w:p>
    <w:p>
      <w:r>
        <w:t>Ein Visum aus humanitären Gründen kann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per 29. September 2012 aufgehobenen Auslandgesuchen, bei denen Einreisebewilligungen nur sehr zurückhaltend erteilt wurden beziehungsweise werden (vgl. Botschaft des Bundesrates vom 26. Mai 2010 zur Änderung des Asylgesetzes, BBl 2010 4455, insbesondere 4467 f., 4471 f. und 4490 f.; Weisung Nr. 322.126 des BFM vom 25. Februar 2014 betreffend Visumantrag aus humanitären Gründen [zu finden auf der Internetseite des BFM]; Urteile des BundesverwaltungsgerichtsD-4783/2011 vom 29. Mai 2013 E. 3.2, D-5298/2013 vom 27. November 2013 E. 4.2, D-2177/2014 vom 5. Juni 2014 E. 5.2). Das Beweismass einer entsprechenden Gefährdung wird unter dem Aspekt des humanitären Visums angehoben (vgl. Urteil D-3367/2013 vom 12. Mai 2014 E. 4.4). Aufgrund der nunmehr strengeren Voraussetzungen kann der Beschwerdeführer aus den in der Rechtsmitteleingabe erwähnten Urteilen des Bundesverwaltungsgerichts, welche noch unter den altrechtlichen Bestimmungen betreffend die Einreichung von Auslandgesuchen ergangen sind, nichts zu seinem Vorteil ableiten.</w:t>
      </w:r>
    </w:p>
    <w:p>
      <w:r>
        <w:rPr>
          <w:b/>
        </w:rPr>
        <w:t>E. 6.1</w:t>
      </w:r>
    </w:p>
    <w:p>
      <w:r>
        <w:t>Das Bundesverwaltungsgericht kommt nach einer eingehenden Prüfung der Akten zum Schluss, dass die Voraussetzungen für die Erteilung eines humanitären Visums vorliegend nicht erfüllt sind. Die Vorbringen auf Beschwerdeebene sind nicht geeignet, die als zutreffend zu erachtenden Erwägungen in der angefochtenen Verfügung zu entkräften. So ist den Akten nicht zu entnehmen, dass der Beschwerdeführer nebst dem Verlust der (...) und dem Erhalt einer Vorladung weitere konkrete Probleme mit den israelischen Behörden zu gewärtigen hatte. Aus der Beschwerde ergibt sich zwar, dass er sich wegen der Nichteinhaltung des in der Vorladung erwähnten Termins nunmehr versteckt in Israel aufhält und befürchtet, inhaftiert zu werden. Daraus vermag er jedoch nichts zu seinen Gunsten abzuleiten, zumal es notorisch ist, dass sich eine Vielzahl weiterer afrikanischer Migranten in Israel in einer ähnlichen Situation befindet und diese weiterhin ein Auskommen finden. Obwohl die für diese Migranten schwierigen Lebensumstände keinesfalls zu verkennen sind, wird der Beschwerdeführer dadurch in keine derartige Notsituation gebracht, welche ein Eingreifen der schweizerischen Behörden zwingend erforderlich machen und die Erteilung eines Einreisevisums rechtfertigen würde. Seine Befürchtungen, von den israelischen Behörden inhaftiert beziehungsweise in sein Heimatland oder einen Drittstaat deportiert zu werden, haben sich den Akten zufolge nicht erhärtet, weshalb offensichtlich nicht davon auszugehen ist, er sei in Israel unmittelbar, ernsthaft und konkret an Leib und Leben gefährdet. Dies umso weniger, als er unter Kollektivschutz steht und deswegen vor einer Verletzung des Non-Refoulement-Gebots geschützt ist. Sollte er finanzielle Unterstützung benötigen, darf im Weiteren davon ausgegangen werden, dass er sich diesbezüglich an seinen in der Schweiz als vorläufig aufgenommener Flüchtling lebenden Bruder (N _______) wenden kann. Für weitergehende Unterstützung steht es ihm auch offen, sich an eine der vor Ort tätigen Hilfsorganisationen zu wenden.</w:t>
      </w:r>
    </w:p>
    <w:p>
      <w:r>
        <w:rPr>
          <w:b/>
        </w:rPr>
        <w:t>E. 6.2</w:t>
      </w:r>
    </w:p>
    <w:p>
      <w:r>
        <w:t>Zusammenfassend ist damit festzustellen, dass sich die Lage des Beschwerdeführers in Israel trotz der unbestrittenermassen beschwerlichen Lebensumstände nicht dergestalt präsentiert, dass ihm dort ein weiterer Verbleib gänzlich unzumutbar wäre. Das BFM hat seine Einsprache infolgedessen zu Recht abgewiesen.</w:t>
      </w:r>
    </w:p>
    <w:p>
      <w:r>
        <w:rPr>
          <w:b/>
        </w:rPr>
        <w:t>E. 7</w:t>
      </w:r>
    </w:p>
    <w:p>
      <w:r>
        <w:t>Die angefochtene Verfügung ist nach dem Gesagten im Lichte von Art. 49 VwVG nicht zu beanstanden. Die Beschwerde ist abzuweisen.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11. Juli 2014 in gleicher Höhe einbezahlte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