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D-3429/2009 vom 21. Januar 2010</w:t>
      </w:r>
    </w:p>
    <w:p>
      <w:r>
        <w:t>Bundesverwaltungsgericht, 2010-01-21, DE</w:t>
      </w:r>
    </w:p>
    <w:p>
      <w:r>
        <w:rPr>
          <w:b/>
        </w:rPr>
        <w:t xml:space="preserve">Quelle: </w:t>
      </w:r>
      <w:r>
        <w:t>https://mcp.opencaselaw.ch/entscheid/bvger_D-3429_2009</w:t>
      </w:r>
    </w:p>
    <w:p>
      <w:r>
        <w:t>FR: TAF D-3429/2009 du 21 janvier 2010</w:t>
      </w:r>
    </w:p>
    <w:p>
      <w:r>
        <w:t>IT: TAF D-3429/2009 del 21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Grundsätzlich sind die Vorbringen in der Beschwerdeschrift nicht geeignet, eine Änderung der vorinstanzlichen Verfügung bezüglich der geltend gemachten Verfolgung zu bewirken. Ein Ausnahme bilden die Ausführungen im Zusammenhang mit der geltend gemachten illegalen Ausreise des Beschwerdeführers, wie nachfolgend noch aufzuzeigen ist. Ansonsten werden der Argumentation des BFM keine stichhaltigen und substanziierten Gründe entgegengesetzt. Eine diesbezügliche Auseinandersetzung unterbleibt zwar nicht grundsätzlich. Die Ausführungen des Beschwerdeführers vermögen jedoch die substanziiert vorgebrachten und nachvollziehbaren Erwägungen des BFM nicht umzustossen. Dies gilt insbesondere für seine Behauptung, als einfacher Bauer, mangels Schulbildung und bedingt durch seinen wortkargen Charakter habe er die von ihm erlittene Verfolgung nur rudimentär schildern können. Dem ist entgegen zu halten, dass Asylsuchende, die in ihrem Heimatland tatsächlich verfolgt worden sind, in ihrer Wahrnehmung eine subjektive Prägung erfahren haben, weshalb sie ihre diesbezüglichen Erfahrungen beziehungsweise ihre Befürchtungen sowie Ängste dementsprechend schildern. Die gesamte Darstellung des Beschwerdeführers wirkt jedoch plakativ und abstrakt und könnte in dieser Form ohne weiteres von irgendjemandem nacherzählt werden. Die einfach gehaltene Sachverhaltsdarstellung ist in dieser Form mit der erfahrungsgemäss um ein Vielfaches komplexeren Wirklichkeit in keiner Art und Weise zu vereinbaren. Auch fehlen den Schilderungen des Beschwerdeführers jegliche Anzeichen einer persönlichen Betroffenheit als auch Hinweise auf hervorgerufene psychische Reaktionen oder einen vorhandenen Leidensdruck, welche aber erfahrungsgemäss bei derartigen Vorbringen zu erwarten wären. Da die Schilderungen des Beschwerdeführers eine, wie in solchen Fällen übliche, persönlich gefärbte Betroffenheit vermissen lassen, sind sie als unglaubhaft einzustufen. Somit ist die Argumentation der Vorinstanz zu bestätigen, wonach die Vorbringen des Beschwerdeführers zu seinen Vorfluchtgründen unglaubhaft sind.</w:t>
      </w:r>
    </w:p>
    <w:p>
      <w:r>
        <w:rPr>
          <w:b/>
        </w:rPr>
        <w:t>E. 4.2</w:t>
      </w:r>
    </w:p>
    <w:p>
      <w:r>
        <w:t>In der Beschwerde wird auch die Praxis der ARK betreffend die subjektiven Nachfluchtgründe im Zusammenhang mit der sogenannten Republikflucht aufgegriffen (EMARK 2006 Nr. 1). Es bleibt demnach zu prüfen, ob der Beschwerdeführer allenfalls durch die Ausreise aus Tibet beziehungsweise China und die Asyleinreichung im Ausland einen Grund für zukünftige Verfolgung durch die chinesischen Behörden gesetzt hat und damit die Flüchtlingseigenschaft wegen subjektiver Nachfluchtgründe gemäss Art. 54 AsylG erfüllt.</w:t>
      </w:r>
    </w:p>
    <w:p>
      <w:r>
        <w:rPr>
          <w:b/>
        </w:rPr>
        <w:t>E. 4.3</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4.4</w:t>
      </w:r>
    </w:p>
    <w:p>
      <w:r>
        <w:t>Das Bundesverwaltungsgericht ist im zur Publikation vorgesehenen Grundsatzurteil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Tibeter-Exilgemeinde bedeutsamen Land wie die Schweiz - Kontakte zu als Dissidenten behandelten exiltibetischen Kreisen unterstellten und hierin eine oppositionelle Haltung und eine Zugehörigkeit zu als separatistische Kräfte betrachteten Kreisen erblickten. Zusammenfassend sei davon auszugehen, dass illegal ausgereiste Asylsuchende tibetischer Ethnie unabhängig von der zeitlichen Dauer ihres Auslandaufenthaltes bei einer Rückkehr nach China oppositionellen politisch-religiösen Anschauungen verdächtigt würden und aus diesem Grund mit Verfolgung im flüchtlingsrelevanten Sinn zu rechnen hätten.</w:t>
      </w:r>
    </w:p>
    <w:p>
      <w:r>
        <w:rPr>
          <w:b/>
        </w:rPr>
        <w:t>E. 4.5</w:t>
      </w:r>
    </w:p>
    <w:p>
      <w:r>
        <w:t>Der Beschwerdeführer hat Tibet eigenen Angaben zufolge am 15. Dezember 2008 illegal und mit Hilfe eines Schleppers verlassen und sich vor seiner Einreise in die Schweiz am 26. Februar 2009 ungefähr zwei Monate in Nepal aufgehalten (A1/S. 8). Angesichts der restriktiven Praxis, wonach in jüngster Zeit, namentlich seit der deutlichen Verschärfung der Lage seit März 2008, legale Ausreisen aus Tibet offenbar kaum noch möglich sind (vgl. das zur Publikation vorgesehene Grundsatzurteil E-6706/2008 vom 7. Oktober 2009 E.6.6) ist von der illegalen Ausreise des Beschwerdeführers aus Tibet auszugehen. Dies umso mehr, als der Beschwerdeführer den Voraussetzungen für den eng begrenzten Personenkreis, dem Ausreisebewilligungen erteilt werden (Geschäftsleute, Studierende im Ausland, Dorfbewohner der Grenzregion), offensichtlich nicht entspricht. Damit erfüllt er die Anforderungen an die Flüchtlingseigenschaft, weil er bei einer Rückkehr nach China (Tibet) begründete Furcht vor flüchtlingsrechtlich relevanten Nachstellungen seitens der chinesischen Behörden haben muss. Der Wegweisungsvollzug erweist sich somit als unzulässig (Art. 5 AsylG und Art 83 Abs. 3 des Bundesgesetzes vom 16. Dezember 2005 über die Ausländerinnen und Ausländer [AuG, SR 142.20]). Die Ziffern 1 (Verneinung der Flüchtlingseigenschaft) und 4 (vorläufige Aufnahme wegen Unzumutbarkeit des Wegweisungsvollzugs) des Dispositivs der Verfügung vom 29. April 2009 sind aufzuheben und das Bundesamt ist anzuweisen, den Beschwerdeführer als Flüchtling zufolge Unzulässigkeit des Wegweisungsvollzugs vorläufig aufzunehmen. Da die Flüchtlingseigenschaft des Beschwerdeführers einzig aufgrund des Vorliegens subjektiver Nachfluchtgründe zu bejahen ist, ist eine Asylgewährung gemäss dem Ausschlussgrund von Art. 54 AsylG ausgeschlossen.</w:t>
      </w:r>
    </w:p>
    <w:p>
      <w:r>
        <w:rPr>
          <w:b/>
        </w:rPr>
        <w:t>E. 5</w:t>
      </w:r>
    </w:p>
    <w:p>
      <w:r>
        <w:t>Bei diesem Ausgang des Verfahrens sind keine Kosten aufzuerlegen (vgl. Art. 63 Abs. 1 VwVG).</w:t>
      </w:r>
    </w:p>
    <w:p>
      <w:r>
        <w:rPr>
          <w:b/>
        </w:rPr>
        <w:t>E. 6</w:t>
      </w:r>
    </w:p>
    <w:p>
      <w:r>
        <w:t>Die Beschwerdeinstanz kann der ganz oder teilweise obsiegenden Partei von Amtes wegen oder auf Begehren eine Entschädigung für ihr erwachsenen notwendige und verhältnismässig hohe Kosten zusprechen (vgl. Art. 64 Abs. 1 VwVG). Dem nichtvertretenen Beschwerdeführer sind jedoch keine solchen erwachsen, weshalb auf die Ausrichtung einer Parteientschädigung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