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D-3428/2014 vom 6. Februar 2015</w:t>
      </w:r>
    </w:p>
    <w:p>
      <w:r>
        <w:t>Bundesverwaltungsgericht, 2015-02-06, DE</w:t>
      </w:r>
    </w:p>
    <w:p>
      <w:r>
        <w:rPr>
          <w:b/>
        </w:rPr>
        <w:t xml:space="preserve">Quelle: </w:t>
      </w:r>
      <w:r>
        <w:t>https://mcp.opencaselaw.ch/entscheid/bvger_D-3428_2014</w:t>
      </w:r>
    </w:p>
    <w:p>
      <w:r>
        <w:t>FR: TAF D-3428/2014 du 6 février 2015</w:t>
      </w:r>
    </w:p>
    <w:p>
      <w:r>
        <w:t>IT: TAF D-3428/2014 del 6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Beschwerdeführerenden haben am Verfahren vor der Vorinstanz teilgenommen, sind durch die angefochtene Verfügung besonders berührt und haben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w:t>
      </w:r>
    </w:p>
    <w:p>
      <w:r>
        <w:rPr>
          <w:b/>
        </w:rPr>
        <w:t>E. 4.2</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w:t>
      </w:r>
    </w:p>
    <w:p>
      <w:r>
        <w:rPr>
          <w:b/>
        </w:rPr>
        <w:t>E. 5</w:t>
      </w:r>
    </w:p>
    <w:p>
      <w:r>
        <w:t>Der angefochtene Entscheid des BFM wird den genannten Kriterien nicht in der erforderlichen Weise gerecht. Die Beschwerdeführenden haben am 15. September 2014 zwei Dokumente nachgereicht, welche sie als Originale eines syrischen Haftbefehls und eines Urteils der syrischen Behörden bezeichnen. Die Beweismittel datieren gemäss Übersetzungen aus dem Jahr 2013 und wurden mithin nach der Ausreise des Beschwerdeführers verfasst. Die Erwägung des BFM, wonach die Tatsache, dass dieser bisher weder die Anklage noch die Verurteilung erwähnt habe, lasse auf ein bloss nachgeschobenes Sachverhaltselement schliessen, ist dem­nach nicht überzeugend, da er angab, erst durch Nachforschungen von Verwandten vor Ort davon erfahren zu haben. Dass er bereits im Zeitpunkt der Anhörung vom 4. Februar 2014 davon gewusst hätte, lässt sich den Akten jedenfalls nicht entnehmen. Im Weiteren geht das BFM davon aus, bei den erwähnten Dokumenten handle es sich um blosse Kopien mit äusserst geringem Beweiswert. Diese Sichtweise dürfte indes nicht zutreffen, da namentlich die Farbbeschaffenheit des Stempels nicht auf eine blosse Farbkopie hindeutet. Unbesehen der nachfolgend zu thematisierenden Frage der Glaubhaftigkeit der Vorverfolgung steht mithin fest, dass das BFM - sei es im Rahmen der Prüfung einer sich akzentuierenden Vorverfolgung beziehungsweise im Rahmen objektiver Nachfluchtgründe - gehalten gewesen wäre, die Dokumente eingehender zu analysieren und dieses Analyseergebnis rechtsgenüglich zu begründen.</w:t>
      </w:r>
    </w:p>
    <w:p>
      <w:r>
        <w:rPr>
          <w:b/>
        </w:rPr>
        <w:t>E. 6.1</w:t>
      </w:r>
    </w:p>
    <w:p>
      <w:r>
        <w:t>Das BFM geht in seiner Verfügung vorerst davon aus, der vom Beschwerdeführer geschilderte Sachverhalt zur Verfolgung durch die Alewiten müsse als unglaubhaft erachtet werden. In der Tat finden sich im Anhörungsprotokoll gewisse Abweichungen im Vergleich zu den Aussagen anlässlich der Erstbefragung. Es finden sich in den Unterlagen und Protokollen jedoch auch zahlreiche Elemente, die für die Glaubhaftigkeit der Vorbringen sprechen, auf die vom BFM in keiner Weise eingegangen wird. In der Beschwerde wird sodann zurecht auf den Summarcharakter der Erstbefragungen, welche im Transitbereich des Flughafens erfolgten, hingewiesen. Bereits vor diesem Hintergrund sind gewisse allfällige Differenzen bei den Angaben zur Verwüstung von Geschäften nicht über zu bewerten, erfolgte die Anhörung doch fast eineinhalb Jahre nach der Summarbefragung. Die Eheleute haben die Kernvorbringen, nämlich die Bedrohung als sunnitische Geschäftsleute durch Alewiten beziehungsweise Funktionäre des Staates, weitgehend übereinstimmend formuliert (A 89/15 Antworten 33 ff.; A 90/9 Antworten 23 ff.). Sie legten auch in der Beschwerde verdeutlichend dar, dass in ihrem Quartier Sunniten und Ale­witen leben würden, unter welchen sich 90% Offiziere oder andere Anhänger des Staates befänden. Im Rahmen des sunnitischen Glaubens habe der Beschwerdeführer die Geschäfte bei besonderen Ereignissen wie De­monstrationen oder aus Respekt vor gefallenen Märtyrern geschlossen. Dies sei auch deshalb geschehen, weil ihn die im Quartier lebende sunnitische Bevölkerung dazu gedrängt habe. Der Konflikt mit den Offizieren sei daraus entstanden, dass diese seine Sympathien für die Freie Armee, die Teilnahme an Demonstrationen und die Lebensmittelspenden realisiert hätten. Er sei aufgefordert worden, die Läden für die Alewiten, welche in der Überzahl seien, offen zu halten und die Versorgung der Freien Armee zu unterlassen. Aufgrund seiner Weigerungen sei es zu Sachbeschädigungen und Morddrohungen gekommen. Das BFM erwägt in diesem Zusammenhang, auf Vorhalt habe er im Sinne einer Richtigstellung zu Protokoll gegeben, die Bevölkerung habe gewollt, dass er seine Geschäfte aus Solidarität zu den Märtyrern und den getöteten Demonstranten schliesse. Die Alewiten hätten indes verlangt, dass er die Geschäfte öffne. Dadurch habe er aber die bestehenden Unstimmigkeiten nicht zu erklären vermocht, zumal er beigefügt habe, im Quartier seien mehrheitlich Alewiten wohnhaft. Gemäss dieser Aussage müssten demnach sowohl die Bewohner wie auch die angeblichen Verfolger alewitischer Ethnie sein und demzufolge die gleichen Interessen bekunden. Diese Argumentationsweise kann aber schon insofern nicht nachvollzogen werden, als der Beschwerdeführer bei der Anhörung im Sinne obenstehender Ausführungen ein differenziertes Bild der Bedrohungslage und der verschiedenen Glaubensrichtungen im Quartier zu vermitteln in der Lage war. Ob demzufolge von einer glaubhaften Schilderung des Sachverhalts vor der Ausreise auszugehen ist, kann aufgrund des zu fällenden kassatorischen Entscheids vorliegend indes offen gelassen werden.</w:t>
      </w:r>
    </w:p>
    <w:p>
      <w:r>
        <w:rPr>
          <w:b/>
        </w:rPr>
        <w:t>E. 6.2</w:t>
      </w:r>
    </w:p>
    <w:p>
      <w:r>
        <w:t>Das BFM hält unter Ziff. 3 der Verfügung fest, die "übrigen" Vorbringen der Beschwerdeführenden seien auf ihre Asylrelevanz zu prüfen. Sie hätten geltend gemacht, von Alewiten und Offizieren der syrischen Armee verfolgt worden zu sein, da sie sich wegen der Öffnungszeiten der Geschäftslokale sowie der Abgabe von Lebensmitteln an die Oppositionellen gestritten hätten. Die diesbezüglich vorgebrachte Verfolgung sei nicht für asylrelevant zu erachten. Diese Argumentation wirft indes Fragen auf. So verwirrt insbesondere, dass jetzt von den "übrigen" Vorbringen die Rede ist, obwohl bei der Schilderung des BFM der übrigen Vorbringen wiederum die Bedrohung durch die Alewiten und Offiziere, welche zuvor für unglaubhaft erachtet wurde, thematisiert wird. Zwar ist denkbar, dass das BFM sowohl die Glaubhaftigkeit wie auch die Asylrelevanz der geschilderten Situation vor der Ausreise festhalten wollte, was aber aufgrund der erwähnten Formulierung nicht schlüssig ist und im Ergebnis zu unzulässigen Erschwernissen bei der Anfechtung der vorinstanzlichen Verfügung beziehungsweise der Überprüfung durch die Beschwerdeinstanz führt. Wird nämlich von der Glaubhaftigkeit der Geschäftstätigkeit des Beschwerdeführers, seiner Sympathien und Unterstützungshandlungen für die Opposition und seiner Bedrohungslage durch regierungsstreue Alewiten ausgegangen, ergeben sich bei den Schlussfolgerungen im neu zu fällenden Entscheid durchaus verschiedene Prämissen. Jedenfalls vermöchte diesfalls allein der Umstand, dass die Beschwerdeführenden legal ausgereist sind, die asylrechtliche Relevanz nicht auszuschliessen. Auch diese Argumentation der Vorinstanz vermag demnach der nötigen Begründungsdichte und Nachvollziehbarkeit nicht zu entsprechen. Ohnehin wurde vorstehend unter Ziff. 5 aber auch erwogen, dass sich die Verfolgungssituation möglicherweise verschärft hat und diese Verschärfung vom BFM nicht adäquat gewürdigt beziehungsweise mit ungenügender Begründung verneint wurde.</w:t>
      </w:r>
    </w:p>
    <w:p>
      <w:r>
        <w:rPr>
          <w:b/>
        </w:rPr>
        <w:t>E. 6.3</w:t>
      </w:r>
    </w:p>
    <w:p>
      <w:r>
        <w:t>Schliesslich gaben beide Beschwerdeführenden an, sich vor der Rückkehr auch deshalb zu fürchten, weil sie wegen des Auslandaufenthalts der Zugehörigkeit zur Opposition verdächtigt würden. Das BFM hat es unterlassen, diese Befürchtungen im Entscheid adäquat zu würdigen.</w:t>
      </w:r>
    </w:p>
    <w:p>
      <w:r>
        <w:rPr>
          <w:b/>
        </w:rPr>
        <w:t>E. 6.4</w:t>
      </w:r>
    </w:p>
    <w:p>
      <w:r>
        <w:t>Diesen Erwägungen gemäss hat das BFM den rechtserheblichen Sachverhalt nicht hinreichend abgeklärt respektive festgestellt und die Begründungspflicht verletzt.</w:t>
      </w:r>
    </w:p>
    <w:p>
      <w:r>
        <w:rPr>
          <w:b/>
        </w:rPr>
        <w:t>E. 7.1</w:t>
      </w:r>
    </w:p>
    <w:p>
      <w:r>
        <w:t>Zusammenfassend ergibt sich, dass der angefochtene Entscheid un­ter Missachtung wesentlicher Gehörsansprüche der Beschwerdeführeren­den zustande gekommen ist.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 unbesehen der Kognitionsbeschränkung der Beschwerdeinstanz - insbesondere auch deshalb nicht in Betracht, weil das BFM im Rahmen des Schriftenwechsels nicht rechtsgenüglich auf die neuen Vorbringen eingegangen ist.</w:t>
      </w:r>
    </w:p>
    <w:p>
      <w:r>
        <w:rPr>
          <w:b/>
        </w:rPr>
        <w:t>E. 8</w:t>
      </w:r>
    </w:p>
    <w:p>
      <w:r>
        <w:t>Die angefochtene Verfügung ist deshalb aufzuheben und die Sache im Sinne der Erwägungen und in Gutheissung des Kassationsantrags an die Vorinstanz zurückzuweisen. Das BFM ist gehalten, ge­stützt auf den vollständig festgestellten rechtserheblichen Sachverhalt einen neuen Ent­scheid mit rechtsgenüglicher Begründung zu fällen. Bei dieser Sachlage kann mangels Relevanz davon abgesehen werden, auf weitere Beschwerdevorbringen und die Beweismittel näher einzugehen.</w:t>
      </w:r>
    </w:p>
    <w:p>
      <w:r>
        <w:rPr>
          <w:b/>
        </w:rPr>
        <w:t>E. 9.1</w:t>
      </w:r>
    </w:p>
    <w:p>
      <w:r>
        <w:t>Bei diesem Ausgang des Verfahrens sind keine Kosten zu erheben (Art. 63 Abs. 1 und 2 VwVG).</w:t>
      </w:r>
    </w:p>
    <w:p>
      <w:r>
        <w:rPr>
          <w:b/>
        </w:rPr>
        <w:t>E. 9.2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Rechtsvertretung hat für dieses Verfahren keine Kostennote zu den Akten gereicht. Auf die Nachforderung einer solchen kann indes verzichtet werden, da sich die Vertretungskosten aufgrund der für das Verfahren ausschlaggebenden Akten zuverlässig abschätzen lassen. Demnach ist die Parteientschädigung unter Berücksichtigung aller massgeblicher Faktoren auf insgesamt Fr. 1'800.- (inkl. Allfällige Auslagen und MWST) festzusetzen (vgl. Art. 16 Abs. 1 Bst. a VGG i.V.m.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