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D-3426/2015 vom 4. August 2015</w:t>
      </w:r>
    </w:p>
    <w:p>
      <w:r>
        <w:t>Bundesverwaltungsgericht, 2015-08-04, DE</w:t>
      </w:r>
    </w:p>
    <w:p>
      <w:r>
        <w:rPr>
          <w:b/>
        </w:rPr>
        <w:t xml:space="preserve">Quelle: </w:t>
      </w:r>
      <w:r>
        <w:t>https://mcp.opencaselaw.ch/entscheid/bvger_D-3426_2015</w:t>
      </w:r>
    </w:p>
    <w:p>
      <w:r>
        <w:t>FR: TAF D-3426/2015 du 4 août 2015</w:t>
      </w:r>
    </w:p>
    <w:p>
      <w:r>
        <w:t>IT: TAF D-3426/2015 del 4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wird aus prozessökonomischen Gründen in Englisch akzeptiert und ist ansonsten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und 108 Abs. 1 AsylG; Art. 48 Abs. 1 sowie Art. 52 Abs. 1 VwVG). Auf die Beschwerde ist einzutreten.</w:t>
      </w:r>
    </w:p>
    <w:p>
      <w:r>
        <w:rPr>
          <w:b/>
        </w:rPr>
        <w:t>E. 1.3</w:t>
      </w:r>
    </w:p>
    <w:p>
      <w:r>
        <w:t>Der Vollständigkeit halber ist an dieser Stelle festzuhalten, dass die vorinstanzlichen Verfügungen betreffend E._______ und F._______ mangels Anfechtung in Rechtskraft erwachsen sind.</w:t>
      </w:r>
    </w:p>
    <w:p>
      <w:r>
        <w:rPr>
          <w:b/>
        </w:rPr>
        <w:t>E. 2</w:t>
      </w:r>
    </w:p>
    <w:p>
      <w:r>
        <w:t>Die Kognition des Bundesverwaltungsgerichts und die zulässigen Rügen richten sich im Bereich des asylrechtlichen Auslandsverfahrens nach Art. 106 Abs. 1 AsylG (vgl. hierzu das Urteil des BVGer D-103/2014 vom 21. Januar 2015 [zur Publikation vorgesehen]).</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5.1</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Vorinstanz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6.1</w:t>
      </w:r>
    </w:p>
    <w:p>
      <w:r>
        <w:t>Das Gericht stellt die äusserst schwierigen Lebensumstände der Beschwerdeführenden in Syrien nicht in Abrede. Vor­aussetzung für die Erteilung einer Einreisebewilligung ist allerdings, wie sich aus den vorstehenden Erwägungen ergibt, dass Hinweise auf eine aktuelle Gefährdung im Sinne von Art. 3 AsylG vorliegen. Diese Voraussetzung ist vorliegend nicht erfüllt: Aus den Vorbringen der Beschwerdeführenden im vor­in­stanz­lichen Verfahren ergeben sich keine Anhaltspunkte für die Annahme, dass sie in Syrien aus einem Grund nach Art. 3 Abs. 1 AsylG (Rasse, Religion, Nationalität, Zu­gehörigkeit zu einer bestimmten sozialen Gruppe, politische Anschauung) konkret gefährdet sind. Ihre Vorbringen (Zerstörung der eigenen Wer­k­statt, Arbeitslosigkeit, Versorgungsengpässe, Miterleben von Explosionen sowie Angst, Opfer von Kampfhandlungen oder Übergriffen zu werden) - so tragisch und einschränkend derartige Umstände auch sein mögen - wiederspiegeln vielmehr eine allgemeine Gefährdungssituation aufgrund des Bürgerkrieges. Auch in der Beschwer­de­schrift wird nichts vorgebracht, das auf eine asylrelevante Gefährdung der Beschwerdeführenden in Syrien hinweisen würde, zumal sie dorthin freiwillig zurückgekehrt sind.</w:t>
      </w:r>
    </w:p>
    <w:p>
      <w:r>
        <w:rPr>
          <w:b/>
        </w:rPr>
        <w:t>E. 6.2</w:t>
      </w:r>
    </w:p>
    <w:p>
      <w:r>
        <w:t>Mangels Glaubhaftmachung einer asylrelevanten Gefährdung in Syrien - im Übrigen bestehen auch keine Hinweise auf eine derartige Gefährdung der Beschwerdeführenden im Libanon - erübrigt sich eine Prüfung der weiteren Voraussetzungen für die Erteilung einer Einreisebewilligung im asylrechtlichen Auslandsverfahren. Es ist daher nicht näher auf die im vorinstanzlichen Verfahren und insbesondere in der Beschwerdeschrift erwähnten Schwierigkeiten der Beschwerdeführenden im Libanon einzugehen, die im Wesentlichen wirtschaftlicher Natur sind.</w:t>
      </w:r>
    </w:p>
    <w:p>
      <w:r>
        <w:rPr>
          <w:b/>
        </w:rPr>
        <w:t>E. 6.3</w:t>
      </w:r>
    </w:p>
    <w:p>
      <w:r>
        <w:t>Das SEM hat den Beschwer­de­führenden nach dem Gesagten zu Recht die Einreise in die Schweiz verweigert und ihre Asylgesuche abgelehnt.</w:t>
      </w:r>
    </w:p>
    <w:p>
      <w:r>
        <w:rPr>
          <w:b/>
        </w:rPr>
        <w:t>E. 7</w:t>
      </w:r>
    </w:p>
    <w:p>
      <w:r>
        <w:t>Aus diesen Erwägungen ergibt sich, dass die angefochtenen Verfügungen Bundesrecht nicht verletzen und auch sonst nicht zu beanstanden sind (Art. 106 Abs. 1 AsylG). Die Beschwerde ist abzuweisen.</w:t>
      </w:r>
    </w:p>
    <w:p>
      <w:r>
        <w:rPr>
          <w:b/>
        </w:rPr>
        <w:t>E. 8</w:t>
      </w:r>
    </w:p>
    <w:p>
      <w:r>
        <w:t>Bei diesem Ausgang des Verfahrens wären die Kosten grundsätzlich den Beschwerdeführenden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