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D-3422/2022 vom 29. Juli 2022</w:t>
      </w:r>
    </w:p>
    <w:p>
      <w:r>
        <w:t>Bundesverwaltungsgericht, 2022-07-29, IT</w:t>
      </w:r>
    </w:p>
    <w:p>
      <w:r>
        <w:rPr>
          <w:b/>
        </w:rPr>
        <w:t xml:space="preserve">Quelle: </w:t>
      </w:r>
      <w:r>
        <w:t>https://mcp.opencaselaw.ch/entscheid/bvger_D-3422_2022_d20220729</w:t>
      </w:r>
    </w:p>
    <w:p>
      <w:r>
        <w:t>FR: TAF D-3422/2022 du 29 juillet 2022</w:t>
      </w:r>
    </w:p>
    <w:p>
      <w:r>
        <w:t>IT: TAF D-3422/2022 del 29 luglio 2022</w:t>
      </w:r>
    </w:p>
    <w:p>
      <w:pPr>
        <w:pStyle w:val="Heading2"/>
      </w:pPr>
      <w:r>
        <w:t>Regeste</w:t>
      </w:r>
    </w:p>
    <w:p>
      <w:r>
        <w:t>Rifiuto della protezione provvisoria | Rifiuto della protezione provvisoria; decisione della SEM del 29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respinto, nella misura della sua ricevibilità.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Chiara Piras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