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D-3420/2014 vom 20. August 2015</w:t>
      </w:r>
    </w:p>
    <w:p>
      <w:r>
        <w:t>Bundesverwaltungsgericht, 2015-08-20, DE</w:t>
      </w:r>
    </w:p>
    <w:p>
      <w:r>
        <w:rPr>
          <w:b/>
        </w:rPr>
        <w:t xml:space="preserve">Quelle: </w:t>
      </w:r>
      <w:r>
        <w:t>https://mcp.opencaselaw.ch/entscheid/bvger_D-3420_2014</w:t>
      </w:r>
    </w:p>
    <w:p>
      <w:r>
        <w:t>FR: TAF D-3420/2014 du 20 août 2015</w:t>
      </w:r>
    </w:p>
    <w:p>
      <w:r>
        <w:t>IT: TAF D-3420/2014 del 20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dem Dorf C._______, Gemeinde D.________, Bezirk und Präfektur E._______ (Volksrepublik China) stamme, wo sie von Geburt bis zu ihrer Ausreise gelebt habe. Sie habe weder eine Schule besucht noch einen Beruf erlernt und sei auf dem Land ihrer Eltern tätig gewesen. Am 6. September 2012 habe sie zusammen mit einer Freundin protibetische Plakate angebracht. Nach der Verhaftung ihrer Freundin habe sie aus Furcht, ebenfalls verhaftet zu werden, ihren Heimatstaat verlassen. Mit Hilfe eines Schleppers sei sie unter Vorweisung eines Reisepasses, welcher ihr der Schlepper nach der Ausreise wieder abgenommen habe, auf dem Flugweg von F._______ an einen ihr unbekannten Ort und von dort weiter an einen weiteren ihr unbekannten Ort gelangt, wo sie die Nacht verbracht habe, bevor sie mit dem Auto in die Schweiz gereist sei. Die Identitätskarte habe sie auf sich getragen, aber nicht vorgewiesen.</w:t>
      </w:r>
    </w:p>
    <w:p>
      <w:r>
        <w:rPr>
          <w:b/>
        </w:rPr>
        <w:t>E. 4.2</w:t>
      </w:r>
    </w:p>
    <w:p>
      <w:r>
        <w:t>Das BFM begründete seine Verfügung damit, dass die angebliche Herkunft der Beschwerdeführerin nicht glaubhaft sei. Zum einen habe sie hinsichtlich ihrer Identitätskarte keine genauen Angaben machen können, wie sie diese erlangt habe. Gemäss den Erkenntnissen des Bundesamtes sei die Gültigkeit von Identitätskarten für Personen, welche Identitätskarten im Alter zwischen 26 und 45 Jahren beantragten, länger als die in der Identitätskarte der Beschwerdeführerin angegebenen zehn Jahre. Auch sei in der Identitätskarte ein anderer Wohnort und eine andere Gemeinde aufgeführt als der von der Beschwerdeführerin angegebene Herkunfts- und Wohnort. Zum anderen sei die Beschwerdeführerin nicht in der Lage gewesen, nähere Angaben über ihren Herkunftsort und deren nähere Umgebung zu machen. Sie spreche auch kaum Chinesisch. Dies sei für eine chinesische Staatsbürgerin höchst unüblich, zumal davon auszugehen sei, dass Personen bei einer Sozialisation in Tibet in der Lage sein müssten, zumindest einfache Alltagskonversationen auf Chinesisch zu führen. Auch die Angaben der Beschwerdeführerin zu ihrer illegalen Ausreise seien teils oberflächlich, teils widersprüchlich ausgefallen. Schliesslich habe sie auch hinsichtlich ihrer Verfolgungsvorbringen widersprüchliche Aussagen gemacht. Betreffend die Zweifel an der angeblichen Herkunft sei ihr im Rahmen der Anhörung das rechtliche Gehör gewährt worden. Ihre Stellungnahme habe diese Zweifel jedoch nicht auszuräumen vermocht. Daher könne ihr die angebliche tibetische Herkunft sowie die Staatsangehörigkeit nicht geglaubt werden. Daran vermöge auch die Identitätskarte nichts zu ändern, da diese erfahrungsgemäss im Heimatstaat der Beschwerdeführerin käuflich erwerbbar sei und die dortigen Angaben teils nicht mit denjenigen der Beschwerdeführerin übereinstimmten. Angesichts der zahlreichen Unstimmigkeiten hielten die Vorbringen der Beschwerdeführerin den Anforderungen an die Glaubhaftigkeit nach Art. 7 AsylG nicht stand, so dass deren Asylrelevanz nicht geprüft werden müsse. Demzufolge erfülle die Beschwerdeführerin die Flüchtlingseigenschaft nicht und ihr Asylgesuch sei abzulehnen.</w:t>
      </w:r>
    </w:p>
    <w:p>
      <w:r>
        <w:rPr>
          <w:b/>
        </w:rPr>
        <w:t>E. 4.3</w:t>
      </w:r>
    </w:p>
    <w:p>
      <w:r>
        <w:t>Diesen Erwägungen hielt die Beschwerdeführerin in der Beschwerde unter anderem entgegen, die Echtheit der Identitätskarte lediglich aufgrund der fraglichen Gültigkeitsdauer anzuzweifeln, sei nicht überzeugend. Zum einen habe die Vorinstanz lediglich behauptet, dass die übliche Geltungsdauer mehr als zehn Jahre betrage, ohne dies mit weiteren, zu überprüfenden Angaben zu belegen. So sei aus den mit der Beschwerde eingereichten Kopien der Identitätskarten des Schwagers und einer befreundeten Nonne der Beschwerdeführerin ersichtlich, dass deren Gültigkeit ebenfalls zehn Jahre betrage. Zum anderen sei die Beschwerdeführerin im Zeitpunkt ihres Antrags um Ausstellung der Identitätskarte erst 26 Jahre alt geworden. Schliesslich nahm die Rechtsvertreterin zu den übrigen Argumenten der Vorinstanz Stellung, wonach an der tibetischen Herkunft der Beschwerdeführerin, ihrer Verfolgungsvorbringen und der illegalen Ausreise zu zweifeln sei. Zumindest seien ihr aber subjektive Nachfluchtgründe zuzuerkennen, zumal sie Tibeterin aus der Volksrepublik China sei. Spätestens durch ihre illegale Ausreise sei sie - in Anwendung von EMARK 2006 Nr. 1 (bestätigt in BVGE 2009/29) - Flüchtling geworden. Das illegale Verlassen des Heimatlandes sei in China unter Strafe gestellt und Rückkehrerinnen tibetischer Ethnie würden mit Sicherheit Probleme mit den Behörden bekommen. Diese würden davon ausgehen, dass Tibeter während ihres Auslandaufenthalts ihre traditionellen und spirituellen Führer - insbesondere den Dalai Lama - besuchen würden. Daher seien die Grenzkontrollen und die Überwachung intensiviert worden, um unkontrollierte Grenzübertritte möglichst zu verhindern. Stelle die betreffende Person im Ausland ein Asylgesuch, drohe ihr eine noch härtere Bestrafung. Haftstrafen von einigen Wochen bis zu sechs Monaten würden ohne Gerichtsverhandlung verhängt und seien regelmässig mit Misshandlungen verbunden. Anschliessend komme es in der Regel zu einer gerichtlichen Verurteilung. Bei einer Rückkehr wäre sie daher in grossem Masse gefährdet. 5.1 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Urteil des Bundesverwaltungsgerichts E-3361/2014 vom 6. Mai 2015 E. 3.2 m.w.H., zur Publikation vorgesehen). 5.2 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Urteil des BVGer E-3361/2014 a.a.O. E. 3.3 m.w.H.). 5.3 Die Vorinstanz begründete ihre Verfügung damit, dass die angebliche Herkunft der Beschwerdeführerin nicht glaubhaft sei. Dabei stützt sich das BFM zur Hauptsache auf die im Rahmen der Anhörung erhobenen Angaben der Beschwerdeführerin über ihre Herkunftsregion, ohne jedoch eine in solchen Fällen üblicherweise durch eine Fachperson erstellte Herkunftsanalyse, d.h. eine LINGUA-Analyse oder eine Alltagswissensevaluation, in Auftrag gegeben zu haben (vgl. zu diesen Beweismitteln Urteil des BVGer E-3361/2014 a.a.O. E. 5.1). Vielmehr erfolgte die Herkunftsabklärung ausschliesslich durch entsprechende Fragestellungen in der BzP sowie der Anhörung. 5.4 Im bereits zitierten Urteil E-3361/2014 kam das Bundesverwaltungsgericht zum Schluss, der Untersuchungsgrundsatz und der Anspruch auf rechtliches Gehör verlange, dass die Vorinstanz bei einer Herkunftsabklärung für Asylsuchende tibetischer Ethnie die "bloss" mittels Anhörung erfolgt sei,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 Aus dem Dossier muss daher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LINGUA-Analyse beziehungsweise der Alltagwissensevaluation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Urteil des BVGer E-3361/2014 a.a.O. E. 5.2.2.1 f.). 5.5 Im Weiteren hat die Vorinstanz aufgrund des Anspruchs auf rechtliches Gehör der asylsuchenden Person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kann. Dementsprechend genügt es nicht, die Schlussfolgerung der Herkunftsabklärung in einer pauschalen Zusammenfassung darzulegen, ohne der betroffenen Person die ihr konkret vorgeworfenen Falschangaben effektiv und in detaillierter Weise erkennbar zu machen (vgl. Urteil des BVGer E-3361/2014 a.a.O. E. 5.2.2.4). 5.6 Sind die soeben beziehungsweise Mindeststandards betreffend Gewährung des rechtlichen Gehörs respektive der Untersuchungspflicht der Vor­instanz im Rahmen einer Herkunftsabklärung lediglich mittels Anhörung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Urteil des BVGer E-3361/2014 a.a.O. E. 5.2.3.1). 6.1 Die Einhaltung der Mindeststandards ist vorliegend zu verneinen. Vorab ist zu bemerken, dass die Aussagen der Beschwerdeführerin nicht derart unplausibel, substanzarm und widersprüchlich sind, als dass eine Herkunft aus Tibet offensichtlich verneint werden könnte. Im Weiteren hat die Beschwerdeführerin eine Identitätskarte eingereicht, deren Echtheit von der Vorinstanz mit fraglicher Begründung in Zweifel gezogen wurde. 6.2 Betreffend die Nachvollziehbarkeit der Herkunftsabklärung können dem Protokoll der BzP sowie demjenigen der Anhörung zwar die gestellten Fragen und die Antworten der Beschwerdeführerin entnommen werden. Allerdings enthalten die Akten keine Ausführungen zu den vom BFM als korrekt erachteten Antworten, geschweige denn zu den Quellen, an denen sich der Befrager zwecks Beurteilung der Erklärungen der Beschwerdeführerin orientiert hat. Aus den Akten geht lediglich teils hervor, welche Antworten der Beschwerdeführerin richtig beziehungsweise falsch waren, jedoch ist nicht ersichtlich, wie die korrekte Antwort auf die gestellte Frage gelautet hätte.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 6.3 Wie bereits ausgeführt, hat die Vorinstanz der Beschwerdeführerin den wesentlichen Inhalt der Herkunftsuntersuchung so detailliert zur Kenntnis zu bringen, dass sie hierzu konkrete Einwände anbringen kann. Die Vorinstanz wies die Beschwerdeführerin nur in sehr allgemein gehaltener Weise auf ihre unzutreffenden Angaben hin. Angesichts der lediglich pauschalen Vorhalte wurde es der Beschwerdeführerin objektiv verunmöglicht, konkrete Einwände gegen die vorgeworfenen Falschangaben anzubringen. 6.4 Nach dem Gesagten steht fest, dass das BFM im vorliegenden Fall sowohl den Anspruch der Beschwerdeführerin auf Einräumung des rechtlichen Gehörs als auch den Untersuchungsgrundsatz verletzt hat. Unter Hinweis auf das Urteil E-3361/2014 E. 7 ist die Verfügung des BFM vom 26. Juni 2014 daher aufzuheben und zur erneuten Entscheidung an die Vorinstanz zurückzuweisen, zumal es in diesem Zusammenhang festzuhalten gilt, dass die Echtheit der von der Beschwerdeführerin eingereichten Identitätskarte von der Vorinstanz mit fraglicher Begründung in Zweifel gezogen wurde, weshalb die Frage der Echtheit des eingereichten Ausweisdokumentes näherer Prüfung bedarf.</w:t>
      </w:r>
    </w:p>
    <w:p>
      <w:r>
        <w:rPr>
          <w:b/>
        </w:rPr>
        <w:t>E. 7</w:t>
      </w:r>
    </w:p>
    <w:p>
      <w:r>
        <w:t>Die Beschwerde ist somit gutzuheissen, soweit die Aufhebung der ange­fochtenen Verfügung beantragt wird. Die angefochtene Verfügung ist aufzuheben und die Sache in Anwendung von Art. 61 Abs. 1 in fine VwVG im Sinne der Erwägungen an das SEM zurückzuweisen.</w:t>
      </w:r>
    </w:p>
    <w:p>
      <w:r>
        <w:rPr>
          <w:b/>
        </w:rPr>
        <w:t>E. 8</w:t>
      </w:r>
    </w:p>
    <w:p>
      <w:r>
        <w:t>Bei diesem Ausgang des Verfahrens sind keine Kosten zu erheben (Art. 63 Abs. 1 VwVG). Obsiegende Parteien haben Anspruch auf eine Parteientschädigung für die ihnen erwachsenen notwendigen Kosten (Art. 7 des Reglements vom 11. Dezember 2006 über die Kosten und Entschädigungen vor dem Bundesverwaltungsgericht [VGKE, SR 173.320.2]). Die von der Rechtsvertreterin am 22. August 2014 eingereichte Kostennote erscheint indessen sowohl beim Stundenansatz als auch bei der Anzahl Arbeitsstunden als zu hoch. Ausgehend von einem Stundenansatz von Fr. 150. sowie einem angemessenen Arbeitsaufwand rund 11 Stunden, zuzüglich Auslagen, ist die Parteientschädigung zu Lasten der Vorinstanz auf insgesamt Fr. 2'000. festzusetzen. Der Anspruch auf amtliches Honorar der als unentgeltliche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