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D-3417/2007 vom 25. Juni 2007</w:t>
      </w:r>
    </w:p>
    <w:p>
      <w:r>
        <w:t>Bundesverwaltungsgericht, 2007-06-25, DE</w:t>
      </w:r>
    </w:p>
    <w:p>
      <w:r>
        <w:rPr>
          <w:b/>
        </w:rPr>
        <w:t xml:space="preserve">Quelle: </w:t>
      </w:r>
      <w:r>
        <w:t>https://mcp.opencaselaw.ch/entscheid/bvger_D-3417_2007</w:t>
      </w:r>
    </w:p>
    <w:p>
      <w:r>
        <w:t>FR: TAF D-3417/2007 du 25 juin 2007</w:t>
      </w:r>
    </w:p>
    <w:p>
      <w:r>
        <w:t>IT: TAF D-3417/2007 del 25 giugno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der Beschwerdeführer ist legitimiert (Art. 6 AsylG i.V.m. Art. 48 und 50 ff. VwVG).</w:t>
      </w:r>
    </w:p>
    <w:p>
      <w:r>
        <w:rPr>
          <w:b/>
        </w:rPr>
        <w:t>E. 2.2</w:t>
      </w:r>
    </w:p>
    <w:p>
      <w:r>
        <w:t>Der Beschwerdeführer beantragt in der Ziffer 2 seiner Eingabe die Feststellung der Unzulässigkeit oder der Unzumutbarkeit des Vollzugs der Wegweisung und die Anordnung der vorläufigen Aufnahme. In Ziffer 1 der Eingabe wird indessen die Aufhebung der Ziffern 3 bis 5 des Dispositivs der vorinstanzlichen Verfügung vom 23. April 2007 beantragt. Da die Anordnung der Wegweisung (Ziffer 3 des Dispositivs der vorinstanzlichen Verfügung vom 23. April 2007) die Regelfolge der Abweisung des Asylgesuchs bildet, die Abweisung des Asylgesuchs nicht angefochten wird und der Beschwerdeführer in der Schweiz zurzeit - ausser der Aufenthaltsberechtigung als Asylbewerber - über keinen Aufenthaltstitel verfügt, wurde ihm bereits in der Zwischenverfügung vom 22. Mai 2007 angezeigt, dass davon ausgegangen werde, die Ziffer 3 des Dispositivs sei versehentlich angefochten worden und die Beschwerdeeingabe richte sich "nur" gegen den Vollzug der von der Vorinstanz verfügten Wegweisung. Somit erwuchs die Verfügung des BFM vom 23. April 2007, soweit sie die Frage des Asyls, der Flüchtlingseigenschaft und der Wegweisung betrifft, in Rechtskraft. Gegenstand des Beschwerdeverfahrens bildet lediglich die Frage, ob die Wegweisung zu vollziehen oder ob an Stelle des Vollzugs eine vorläufige Aufnahme anzuordnen ist.</w:t>
      </w:r>
    </w:p>
    <w:p>
      <w:r>
        <w:rPr>
          <w:b/>
        </w:rPr>
        <w:t>E. 2.3</w:t>
      </w:r>
    </w:p>
    <w:p>
      <w:r>
        <w:t>Auf die Beschwerde ist mithin einzutreten.</w:t>
      </w:r>
    </w:p>
    <w:p>
      <w:r>
        <w:rPr>
          <w:b/>
        </w:rPr>
        <w:t>E. 3.1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3.2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3.3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3.4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4</w:t>
      </w:r>
    </w:p>
    <w:p>
      <w:r>
        <w:t>In der Beschwerdeeingabe wird geltend gemacht, die Situation in Afghanistan sei nicht genügend stabil. Aufgrund der zahlreichen Berichte über gewalttätige Vorfälle in Afghanistan sei die Sicherheitslage als besorgniserregend zu bezeichnen. Eine erzwungene Rückkehr von Flüchtlingen sei verfrüht. Er könne nicht in sein Heimatland zurückkehren, da die Familie seines Onkels ihn töten oder vertreiben würde. Die Blutrache sei ein Faktor, der nicht zu unterschätzen sei, wobei oft ganze Familien ins Geschehen verwickelt seien. Der Entscheid des BFM werde der prekären Situation in Afghanistan und seiner persönlichen Lage nicht gerecht. Die Einschätzungen des BFM seien viel zu optimistisch.</w:t>
      </w:r>
    </w:p>
    <w:p>
      <w:r>
        <w:rPr>
          <w:b/>
        </w:rPr>
        <w:t>E. 5</w:t>
      </w:r>
    </w:p>
    <w:p>
      <w:r>
        <w:t>Die Vorinstanz hat in der angefochtenen Verfügung die wesentlichen Widersprüche und Ungereimtheiten in den Vorbringen des Beschwerdeführers erwähnt. Insbesondere ist aufgrund der Unsubstanziiertheit seiner Vorbringen und des Unvermögens, konkrete Angaben zu einfach zu beantwortenden Fragen zu geben, nicht davon auszugehen, dass sich die von ihm geschilderten Ereignisse tatsächlich zugetragen haben. Da der Beschwerdeführer den vorinstanzlichen Erwägungen nichts Konkretes und Substanziiertes entgegenhält, ist an Stelle von Wiederholungen auf die zutreffenden Erwägungen in der angefochtenen Verfügung zu verweisen. Der Beschwerdeführer machte bei der Empfangsstellenbefragung geltend, er habe Afghanistan Mitte September 2006 wieder verlassen, nachdem er dort nur einige Tage verbracht habe. Bei der Bundesanhörung reichte er eine vom 1. Oktober 2006 datierende Bestätigung seiner Staatsangehörigkeit, welche von der afghanischen Botschaft in Teheran ausgestellt worden sei, ein; er habe dieses Dokument benötigt, um vom Iran aus nach Afghanistan zurückzukehren. Da das Dokument nach der angeblichen Rückkehr nach Afghanistan datiert, werden die Zweifel an seinen Vorbringen bestätigt. Des Weiteren erscheinen die Aussagen des Beschwerdeführers, wonach er auf seiner Reise von Afghanistan in die Schweiz, die er ohne im Besitz von Reisepapieren gewesen zu sein, unternommen habe, nie kontrolliert worden sei, unglaubhaft, da er zahlreiche Staaten durchquerte, deren Grenzen er eigenen Angaben gemäss teilweise in einem Reisebus passierte. Die Vorinstanz schloss demnach zu Recht auf die Unglaubhaftigkeit seiner Verfolgungsvorbringen, weshalb nicht davon auszugehen ist, er riskiere bei einer Rückkehr in sein Heimatland, der Blutrache zum Opfer zu fallen.</w:t>
      </w:r>
    </w:p>
    <w:p>
      <w:r>
        <w:rPr>
          <w:b/>
        </w:rPr>
        <w:t>E. 6.1</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6.2</w:t>
      </w:r>
    </w:p>
    <w:p>
      <w:r>
        <w:t>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sowie jener des UN-Anti-Folterausschusses müsste er eine konkrete Gefahr ("real risk") nachweisen oder glaubhaft machen, dass ihm im Fall einer Rückschiebung Folter oder unmenschliche Behandlung drohen würde (vgl. Entscheidungen und Mitteilungen der Schweizerischen Asylrekurskommission [EMARK] 2001 Nr. 16 S. 122, mit weiteren Hinweisen).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6.3</w:t>
      </w:r>
    </w:p>
    <w:p>
      <w:r>
        <w:t>Aus humanitären Gründen, nicht in Erfüllung einer völkerrechtlichen Verpflichtung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nicht durchführbaren, aber notwendigen medizinischen Behandlung, angenommen werden (vgl. Botschaft zum Bundesbeschluss über das Asylverfahren vom 22. Juni 1990, BBl 1990 II 668).</w:t>
      </w:r>
    </w:p>
    <w:p>
      <w:r>
        <w:rPr>
          <w:b/>
        </w:rPr>
        <w:t>E. 6.4</w:t>
      </w:r>
    </w:p>
    <w:p>
      <w:r>
        <w:t>Wie vorstehend erwähnt, ist der Beschwerdeführer Angehöriger der Ethnie der Tadschicken und stammt aus A._______, das in der Provinz Parwan liegt, wo er bis im Jahre 1997 und einige Tage im September 2006 gelebt haben will. Gemäss der auf einer eingehenden Lageanalyse fussenden Praxis der ARK galt eine Rückkehr in die Provinz Parwan als unter bestimmten Umständen zumutbar (vgl. EMARK 2006 Nr. 9); diese Lageanalyse kann heute nach wie vor als gültig angesehen werden, obschon es auch in der Grossregion um Kabul zu Anschlägen kommt. Die Bejahung der Zumutbarkeit eines aus der Provinz Parwan stammenden Asylsuchenden - wo die allgemeine Situation als relativ stabil zu bezeichnen ist (vgl. EMARK 2006 a.a.O.) -, setzt insbesondere die Existenz eines tragfähigen familiären oder anderweitigen Beziehungsnetzes sowie eine gesicherte Wohnsituation voraus; mithin ist bei der Beurteilung der individuellen Zumutbarkeitskriterien eine differenzierte Beurteilung angezeigt (vgl. EMARK 2003 Nr. 30 Erw. 7b S. 193 f.). Gemäss den anlässlich der Befragungen gemachten Angaben hat der Beschwerdeführer in Teheran als Strassenarbeiter gearbeitet. Er sei im September 2006 zusammen mit seinen Eltern und drei Brüdern nach Afghanistan zurückgekehrt, wo seine Familie im Herkunftsdorf über Grundbesitz und ein Haus verfüge. Seine Eltern und sein jüngster Bruder lebten weiterhin im Heimatdorf in der Provinz Parwan, wohin sie nach langjährigem Aufenthalt im Iran zurückgekehrt seien, da sich die Lage in Afghanistan beruhigt habe. Der Beschwerdeführer hat somit in Afghanistan ein soziales Beziehungsnetz und auch seine Wohnsituation darf als geregelt bezeichnet werden. Angesichts der prekären wirtschaftlichen Lage dürfte er bei der Reintegration in den Arbeitsmarkt zwar mit Schwierigkeiten zu kämpfen haben, die er aber überwinden dürfte. Seine Familie kehrte im September 2006 freiwillig nach Afghanistan zurück, weshalb davon ausgegangen werden kann, sie habe für sich im Heimatland eine (wirtschaftliche) Zukunftsperspektive gesehen. Da sich die Lage seither nicht fundamental geändert hat, erscheint der Vollzug der Wegweisung als zumutbar.</w:t>
      </w:r>
    </w:p>
    <w:p>
      <w:r>
        <w:rPr>
          <w:b/>
        </w:rPr>
        <w:t>E. 6.5</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6.6</w:t>
      </w:r>
    </w:p>
    <w:p>
      <w:r>
        <w:t>Die Vorinstanz hat den Wegweisungsvollzug zu Recht als zulässig, zumutbar und möglich erachtet. Nach dem Gesagten fällt eine Anordnung der vorläufigen Aufnahme ausser Betracht (Art. 14a Abs. 1 - 4 ANAG).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Da ihm mit Zwischenverfügung vom 22. Mai 2007 die unentgeltliche Rechtspflege gemäss Art. 65 Abs. 1 VwVG gewährt wurde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