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D-3407/2006 vom 8. Juli 2008</w:t>
      </w:r>
    </w:p>
    <w:p>
      <w:r>
        <w:t>Bundesverwaltungsgericht, 2008-07-08, FR</w:t>
      </w:r>
    </w:p>
    <w:p>
      <w:r>
        <w:rPr>
          <w:b/>
        </w:rPr>
        <w:t xml:space="preserve">Quelle: </w:t>
      </w:r>
      <w:r>
        <w:t>https://mcp.opencaselaw.ch/entscheid/bvger_D-3407_2006</w:t>
      </w:r>
    </w:p>
    <w:p>
      <w:r>
        <w:t>FR: TAF D-3407/2006 du 8 juillet 2008</w:t>
      </w:r>
    </w:p>
    <w:p>
      <w:r>
        <w:t>IT: TAF D-3407/2006 del 8 luglio 2008</w:t>
      </w:r>
    </w:p>
    <w:p>
      <w:pPr>
        <w:pStyle w:val="Heading2"/>
      </w:pPr>
      <w:r>
        <w:t>Regeste</w:t>
      </w:r>
    </w:p>
    <w:p>
      <w:r>
        <w:t>Asile et renvoi (recours réexamen)</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administratif fédéral dans la mesure où il est compétent (art. 53 al. 2 phr. 1 de la loi fédérale du 17 juin 2005 sur le Tribunal administratif fédéral [LTAF, RS 173.32]).</w:t>
      </w:r>
    </w:p>
    <w:p>
      <w:r>
        <w:rPr>
          <w:b/>
        </w:rPr>
        <w:t>E. 1.2</w:t>
      </w:r>
    </w:p>
    <w:p>
      <w:r>
        <w:t>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1.3</w:t>
      </w:r>
    </w:p>
    <w:p>
      <w:r>
        <w:t>Le nouveau droit de procédure s'applique (art. 53 al. 2 phr. 2 LTAF).</w:t>
      </w:r>
    </w:p>
    <w:p>
      <w:r>
        <w:rPr>
          <w:b/>
        </w:rPr>
        <w:t>E. 1.4</w:t>
      </w:r>
    </w:p>
    <w:p>
      <w:r>
        <w:t>Les intéressés ont qualité pour recourir (cf. art. 48 al. 1 let. c PA). Présenté dans la forme (cf. art. 52 PA) et le délai (cf. art. 50 al. 1 PA) prescrits par la loi, le recours est recevable.</w:t>
      </w:r>
    </w:p>
    <w:p>
      <w:r>
        <w:rPr>
          <w:b/>
        </w:rPr>
        <w:t>E. 2.1</w:t>
      </w:r>
    </w:p>
    <w:p>
      <w:r>
        <w:t>La demande de réexamen, définie comme une requête non soumise à des exigences de délai ou de forme, adressée à une autorité administrative en vue de la reconsidération de la décision qu'elle a prise (cf. notamment : André Grisel, Traité de droit administratif, vol. II, Neuchâtel 1984, p. 947), n'est pas expressément prévue par la loi fédérale sur la procédure administrative (PA). La jurisprudence l'a cependant déduite de l'art. 66 PA, qui prévoit le droit de demander la révision des décisions (cf. Recueil officiel des arrêts du Tribunal fédéral suisse [ATF] 109 Ib 246 consid. 4a p. 250) et de l'art. 4 de la Constitution fédérale de la Confédération suisse du 29 mai 1874 (aCst), actuellement l'art. 29 al. 1 et 2 de la Constitution fédérale de la Confédération suisse du 18 avril 1999 (Cst., RS 101) (cf. notamment : Alfred Kölz / Isabelle Häner, Verwaltungsverfahren und Verwaltungsrechtspflege des Bundes, 2e éd., Zurich 1998, p. 160). Une demande de réexamen ne constitue pas une voie de droit (ordinaire ou extraordinaire). Selon la jurisprudence, une autorité n'est tenue de se saisir d'une telle requête que lorsqu'elle constitue une « demande de reconsidération qualifiée », c'est à dire lorsqu'il s'agit d'une « demande d'adaptation », à savoir lorsque le requérant se prévaut d'une modification notable de circonstances depuis le prononcé de la décision matérielle finale de première ou seconde instance, ou lorsque le requérant invoque un motif de révision prévus à l'art. 66 PA, applicable par analogie (cf. Arrêt du Tribunal fédéral suisse du 13 janvier 2003 en l'affaire 2P.223/2002 consid. 3.1, Jurisprudence et Informations de la Commission suisse de recours en matière d'asile [JICRA] 2003 n° 17 consid 2a p. 103 s. et réf. citées).</w:t>
      </w:r>
    </w:p>
    <w:p>
      <w:r>
        <w:rPr>
          <w:b/>
        </w:rPr>
        <w:t>E. 2.2</w:t>
      </w:r>
    </w:p>
    <w:p>
      <w:r>
        <w:t>En l'espèce, les recourants ont sollicité la reconsidération de la décision de l'ODM du 27 mai 2003, faisant valoir que leur état de santé respectif s'était dégradé depuis la fin de la procédure ordinaire, le 8 octobre 2003. Pareille requête constitue donc une demande d'adaptation, au sens précisé ci-dessus, susceptible d'ouvrir la voie du réexamen. C'est donc à juste titre que l'ODM s'en est saisi comme objet de sa compétence. Reste à déterminer, dans le cadre de la présente procédure de recours, si c'est à juste titre que dit office a rejeté cette demande. A cet égard, le Tribunal constate que les intéressés ont fait valoir, à l'appui de leur demande de réexamen du 3 décembre 2003, exclusivement des motifs médicaux. Dès lors, c'est sous l'angle de l'exigibilité de l'exécution du renvoi que la présente cause doit être examinée, les arguments soulevés et moyens de preuve produits n'étant pas de nature à remettre en question les caractères licite et possible de l'exécution du renvoi.</w:t>
      </w:r>
    </w:p>
    <w:p>
      <w:r>
        <w:rPr>
          <w:b/>
        </w:rPr>
        <w:t>E. 3.1</w:t>
      </w:r>
    </w:p>
    <w:p>
      <w:r>
        <w:t>Selon l'art. 83 al. 4 de la loi fédérale sur les étrangers du 16 décembre 2005 (LEtr,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notamment aux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Cette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 s.).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l'exécution du renvoi dans l'un ou l'autre de ces pays sera raisonnablement exigible. Elle ne le sera plus, au sens de l'art. 14a al. 4 LSEE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 JICRA 2003 n° 24 consid. 5b p. 157 s.).</w:t>
      </w:r>
    </w:p>
    <w:p>
      <w:r>
        <w:rPr>
          <w:b/>
        </w:rPr>
        <w:t>E. 3.2</w:t>
      </w:r>
    </w:p>
    <w:p>
      <w:r>
        <w:t>Selon les derniers renseignements au dossier (cf. rapport médical du 13 novembre 2007 et, par renvoi, rapports médicaux des 25 juin 2004 et 6 mai 2005), Y._______ souffre d'un épisode dépressif sévère sans symptômes psychotiques et d'un syndrome douloureux somatoforme persistant. Le traitement prescrit consiste en des entretiens psycho-thérapeutiques de soutien à long terme et une médication à base de Demetrin, Zolpidem et Sertragen. En réponse à la dégradation de l'état de santé de l'intéressée en 2007, la prise de ce dernier médicament a été augmentée, sans réelles améliorations constatées ; ce qui a conduit le praticien à émettre un pronostic incertain, même avec la poursuite de ce traitement. Quant au processus d'invalidation, il s'est ralenti mais ne s'est pas arrêté. Le médecin a ajouté qu'un retour de la recourante dans son pays d'origine comportait un fort risque de réactivation du traumatisme. En outre, s'agissant des possibilités de soins en Turquie, il a estimé qu'il sera difficile pour l'intéressée, qui fait partie de la minorité kurde alévite, de trouver un thérapeute qui puisse être à son écoute et avec lequel elle serait à même de nouer une relation de confiance. Or, à défaut d'une thérapie accessible, des risques de suicide ont été mis en évidence, tout comme la probabilité que la recourante ne soit pas en mesure de s'occuper de ses trois enfants. Quant à X._______, il est atteint d'une modification persistante de la personnalité après des événements extrêmes. Contrairement à son épouse, son état de santé est stable ; le traitement se limite en un accompagnement de soutien à raison d'une fois par mois au maximum. Selon le praticien, la stabilité de son patient reste cependant fragile, un renvoi en Turquie étant toujours susceptible d'entraîner une retraumatisation (cf. rapport médical du 15 novembre 2007 et, par renvoi, rapport médical du 19 février 2004).</w:t>
      </w:r>
    </w:p>
    <w:p>
      <w:r>
        <w:rPr>
          <w:b/>
        </w:rPr>
        <w:t>E. 3.3.1</w:t>
      </w:r>
    </w:p>
    <w:p>
      <w:r>
        <w:t>Selon les informations dont dispose le Tribunal, les affections dont souffrent les recourants peuvent être soignées en Turquie, le traitement et les structures médicales y étant disponibles. Toutefois, il y a lieu d'examiner plus avant la situation concrète dans laquelle se trouveront les intéressés en cas de retour dans leur pays d'origine, afin de déterminer s'ils pourront effectivement avoir accès aux soins requis par leur état de santé. Ceux-ci doivent être garantis à long terme vu la chronicité des troubles psychiques qui affectent les recourants. En effet, plusieurs années de traitement en Suisse n'ont pas permis de constater une évolution favorable de l'état de santé de Y._______. Quant à celui de son époux, bien que plus stable, il est resté encore fragile. De plus, les documents médicaux versés en cause ont mis en évidence l'existence, en cas de renvoi des intéressés dans leur pays d'origine, de sérieux risques de détérioration de leur état de santé psychique (cf. rapports médicaux des 25 juin 2004 et 6 mai 2005 relatifs à Y._______ et rapport médical du 19 février 2004 concernant X._______, documents dans lesquels le praticien parle même de retraumatisation et dont l'actualité a été encore confirmée dans les rapports médicaux des 13 et 15 novembre 2007). Confrontés à de pareils troubles, il apparaît qu'à leur retour en Turquie, les recourants ne seront pas en mesure d'assumer eux-mêmes leurs besoins quotidiens et ceux de leurs trois enfants ni a fortiori de financer les traitements dont ils ont besoin. Il paraît en outre délicat de considérer que les intéressés pourront bénéficier de la « carte verte », accordée à certaines conditions aux citoyens turcs les plus démunis, celle-ci ne garantissant que la gratuité des soins et consultations de base et ne couvrant pas les dépenses relatives aux médicaments, que Y._______ doit prendre quotidiennement. Son obtention reste en outre très aléatoire, parce que les conditions n'en sont pas clairement définies et qu'elle est soumise au bon vouloir des autorités locales (cf. Regula Kienholz, Die Medizinische Versorgungslage in der Türkei, OSAR, Berne, 2003).</w:t>
      </w:r>
    </w:p>
    <w:p>
      <w:r>
        <w:rPr>
          <w:b/>
        </w:rPr>
        <w:t>E. 3.3.2</w:t>
      </w:r>
    </w:p>
    <w:p>
      <w:r>
        <w:t>Reste à examiner si les recourants pourront compter, à leur retour en Turquie, sur le soutien, notamment moral et financier, de membres de leur famille ou de connaissances et si, le cas échéant, pareil soutien sera suffisant pour exclure à suffisance une mise en danger concrète des intéressés.</w:t>
      </w:r>
    </w:p>
    <w:p>
      <w:r>
        <w:rPr>
          <w:b/>
        </w:rPr>
        <w:t>E. 3.3.2.1</w:t>
      </w:r>
    </w:p>
    <w:p>
      <w:r>
        <w:t>Ayant quitté le pays depuis 1997 et vécu dans plusieurs pays d'Europe avant de déposer une demande d'asile en Suisse à la fin de l'année 2001, respectivement au début de l'année 2002, les chances que les recourants puissent encore compter sur l'existence d'un réseau social à même de leur fournir un quelconque soutien dans leur pays d'origine sont extrêmement faibles. En revanche, sous l'angle familial, X._______ a déclaré avoir beaucoup de parents à Gaziantep, notamment un frère, deux soeurs, des oncles et des cousins (cf. pv de l'audition au CEP p. 3 et pv de l'audition cantonale p. 2). Dans son village natal, ne resteraient encore que ses parents et une de ses soeurs (cf. pv de l'audition au CEP p. 3). En outre, un autre frère serait installé à Chypre (cf. idem p. 3) et l'un de ses cousins à Iskenderun (cf. pv de l'audition cantonale p. 6). Quant à Y._______, elle a déclaré n'avoir au pays que ses parents, lesquels vivaient dans son village d'origine (cf. pv de l'audition au CEP p. 2). En dehors de la Turquie, le recourant a affirmé que l'un de ses frères vivait en Allemagne (cf. pv de l'audition cantonale p. 4). Il disposerait en outre de plusieurs cousins installés en Suisse (cf. idem p. 7 et pv de l'audition au CEP p. 3). L'intéressée aurait un frère et quatre soeurs vivant en Allemagne (cf. pv de l'audition au CEP p. 2 s.).</w:t>
      </w:r>
    </w:p>
    <w:p>
      <w:r>
        <w:rPr>
          <w:b/>
        </w:rPr>
        <w:t>E. 3.3.2.2</w:t>
      </w:r>
    </w:p>
    <w:p>
      <w:r>
        <w:t>Il ressort de ces déclarations que les recourants disposent d'un réseau familial étendu dans leur pays d'origine, notamment à Gaziantep et à Iskenderun. Plusieurs éléments au dossier permettent de conclure que ces familiers y sont bien installés (cf. pv de l'audition cantonale de X._______ p. 2 et pv de l'audition cantonale de son épouse p. 2, desquels il ressort que la famille a pu être hébergée plusieurs mois à Gaziantep chez des oncles du recourant ; pv de l'audition de X._______ p. 6, où celui-ci a déclaré avoir travaillé à Iskenderun pour un de ses cousins qui était ingénieur architecte). Bien que ces informations datent du début de l'année 2002, rien ne permet d'admettre qu'elles ne conservent pas leur actualité au moment du présent prononcé. En effet, il n'est pas possible de considérer que six années ont pu complètement bouleverser ce dense réseau familial. Sur le vu de ce qui précède, le Tribunal estime que les nombreux membres de cette proche parenté seront très vraisemblablement à même de fournir aux recourants et à leurs enfants un soutien important, comme ils l'ont fait par le passé, notamment en les hébergeant durant plusieurs mois à Gaziantep. Ils pourront faciliter la réinstallation des intéressés dans leur pays d'origine, permettre aux époux notamment d'avoir accès aux soins requis par leur état de santé - lesquels sont disponibles dans les grands centres urbains tels que Gaziantep ou Iskenderun - et, au besoin, veiller sur les trois enfants du couple. A relever que si l'état de santé de Y._______ ne lui permettra probablement pas, même à moyen terme, de contribuer à l'indépendance de la famille vis-à-vis de leurs proches, tel n'apparaît pas être le cas de son époux. Certes, l'état de santé de celui-ci demeure encore fragile, mais il ne nécessite notamment pas de prises de médicaments. En outre, l'intéressé a été à même d'occuper divers emplois, certes de manière irrégulière, depuis le mois de juillet 2005. Il devrait donc être en mesure, après une période d'adaptation, de retrouver de l'embauche, le cas échéant avec l'aide des membres de sa famille établis sur place, et d'ainsi pouvoir contribuer à l'entretien de son épouse et de leurs enfants. Plusieurs parents proches des recourants sont en outre installés en Allemagne et en Suisse. Les intéressés pourront donc également solliciter de leur part, au besoin, un soutien financier. Enfin, les recourants pourront bénéficier, sur demande, d'un programme d'aide au retour, aux conditions prévues aux art. 62 à 64 et 73 ss de l'ordonnance 2 du 11 août 1999 sur l'asile relative au financement (OA 2, RS 142.312). En particulier, en plus d'une aide matérielle, ils pourront solliciter une aide personnelle pour les besoins médicaux qui sont les leurs (cf. art. 75 OA 2). Dans ces conditions, le Tribunal estime, tout bien considéré, qu'un renvoi des recourants dans leur pays d'origine ne mettra pas concrètement en danger leur existence ni ne constituera une atteinte sérieuse, durable, et notablement plus grave de leur intégrité physique.</w:t>
      </w:r>
    </w:p>
    <w:p>
      <w:r>
        <w:rPr>
          <w:b/>
        </w:rPr>
        <w:t>E. 3.3.3</w:t>
      </w:r>
    </w:p>
    <w:p>
      <w:r>
        <w:t>S'agissant des trois enfants du couple, ils sont respectivement âgés de 15, 13 et 9 ans. Les deux cadets se trouvent encore à un âge où les relations essentielles se vivent dans le giron familial. Ils sont ainsi fortement imprégnés de la culture et du mode de vie de leurs parents, n'ayant pas passé dans leur pays d'accueil cette période essentielle qu'est l'adolescence et l'entrée dans la vie adulte. Il n'est donc pas possible d'admettre que leur vécu en Suisse les ait fortement et durablement imprégnés du mode de vie et du contexte culturel helvétiques. A._______, l'aînée, a en revanche déjà entamé son vécu d'adolescente en Suisse. Le Tribunal n'ignore pas qu'un retour en Turquie de la prénommée mettra à néant nombre de ses relations sociales, dont certaines sont importantes pour son équilibre. Néanmoins, l'autorité de céans relève que la jeune fille pourra compter sur place, à l'instar de ses parents, sur le soutien d'un important réseau familial. En l'absence d'éléments contraires ressortant du dossier, il faut en outre admettre qu'elle parle le turc, comme ses parents, son frère et sa soeur. S'il est vrai qu'elle devra consentir à des efforts particuliers pour se recréer un environnement social dans son pays d'origine, elle ne devrait ainsi pas se retrouver dans la situation d'une personne déracinée. Sous cet angle également, il convient donc de considérer qu'il n'existe pas d'obstacle insurmontable à l'exécution du renvoi de Suisse.</w:t>
      </w:r>
    </w:p>
    <w:p>
      <w:r>
        <w:rPr>
          <w:b/>
        </w:rPr>
        <w:t>E. 4.1</w:t>
      </w:r>
    </w:p>
    <w:p>
      <w:r>
        <w:t>Cela étant, force est de considérer que les motifs, en particulier médicaux, avancés au cours de la présente procédure de réexamen ne permettent pas de remettre en question le caractère raisonnablement exigible de l'exécution du renvoi. La décision de l'ODM du 27 mai 2003 doit donc être confirmée en tant qu'elle ordonne l'exécution du renvoi des intéressés et de leurs enfants.</w:t>
      </w:r>
    </w:p>
    <w:p>
      <w:r>
        <w:rPr>
          <w:b/>
        </w:rPr>
        <w:t>E. 4.2</w:t>
      </w:r>
    </w:p>
    <w:p>
      <w:r>
        <w:t>Il s'ensuit que le recours doit être rejeté.</w:t>
      </w:r>
    </w:p>
    <w:p>
      <w:r>
        <w:rPr>
          <w:b/>
        </w:rPr>
        <w:t>E. 5.1</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En l'espèce toutefois, il n'est pas perçu de frais de procédure, dès lors que les intéressés ont été mis au bénéfice de l'assistance judiciaire, par décision incidente du 5 avril 2004 (art. 65 al. 1 PA).</w:t>
      </w:r>
    </w:p>
    <w:p>
      <w:r>
        <w:rPr>
          <w:b/>
        </w:rPr>
        <w:t>E. 5.2</w:t>
      </w:r>
    </w:p>
    <w:p>
      <w:r>
        <w:t>Par même prononcé incident, le mandataire des recourants a été désigné en tant qu'avocat commis d'office en la cause. En conséquence, il a le droit d'être rétribué pour son activité dans la présente procédure. Le fait qu'il ait été désigné avocat d'office est sans incidence sur le calcul de cette rétribution, dès lors que l'indemnité allouée aux avocats commis d'office est la même que celle à laquelle peut prétendre un représentant conventionnel (cf. art. 12 FITAF).</w:t>
      </w:r>
    </w:p>
    <w:p>
      <w:r>
        <w:rPr>
          <w:b/>
        </w:rPr>
        <w:t>E. 5.3</w:t>
      </w:r>
    </w:p>
    <w:p>
      <w:r>
        <w:t>Par courrier du 30 juin 2008, le mandataire des intéressés a fait parvenir un relevé de prestations des opérations menées dans le cadre de la défense des intérêts de ses mandants. Il en ressort qu'il a consacré 13h 23min à cette fin, activité rémunérée à un tarif horaire de Fr. 230.-, et qu'il a engagé Fr. 59.10 en frais administratifs. Le Tribunal estime justifié d'indemniser le mandataire commis d'office à hauteur de Fr. 2'522.- (TVA comprise), comprenant une activité de 10 heures et des frais arrondis à Fr. 47.-. Pour parvenir à ce montant, le Tribunal n'a pas pris en considération dans le décompte des prestations nécessaires à la défense de la cause l'envoi de la décision dont est recours aux recourants, les six courriers adressés au médecin des intéressés, le courrier adressé à ceux-ci en date du 11 mars 2004, l'entretien du 25 mai 2004 entre le mandataire et les recourants, ainsi que la prise de connaissance du présent arrêt par le mandataire. Les frais d'envoi ont en conséquence également été réduits.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