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D-3405/2023 vom 5. Juni 2023</w:t>
      </w:r>
    </w:p>
    <w:p>
      <w:r>
        <w:t>Bundesverwaltungsgericht, 2023-06-05, DE</w:t>
      </w:r>
    </w:p>
    <w:p>
      <w:r>
        <w:rPr>
          <w:b/>
        </w:rPr>
        <w:t xml:space="preserve">Quelle: </w:t>
      </w:r>
      <w:r>
        <w:t>https://mcp.opencaselaw.ch/entscheid/bvger_D-3405_2023_d20230605</w:t>
      </w:r>
    </w:p>
    <w:p>
      <w:r>
        <w:t>FR: TAF D-3405/2023 du 5 juin 2023</w:t>
      </w:r>
    </w:p>
    <w:p>
      <w:r>
        <w:t>IT: TAF D-3405/2023 del 5 giugno 2023</w:t>
      </w:r>
    </w:p>
    <w:p>
      <w:pPr>
        <w:pStyle w:val="Heading2"/>
      </w:pPr>
      <w:r>
        <w:t>Regeste</w:t>
      </w:r>
    </w:p>
    <w:p>
      <w:r>
        <w:t>Asyl und Wegweisung (Art. 40 i.V.m. Art. 6a Abs. 2 AsylG) | Asyl und Wegweisung (Art. 40 i.V.m. Art. 6a Abs. 2 AsylG); Verfügung des SEM vom 5.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D-3405/2023 Seite 4</w:t>
      </w:r>
    </w:p>
    <w:p>
      <w:r>
        <w:rPr>
          <w:b/>
        </w:rPr>
        <w:t>E. 1.2</w:t>
      </w:r>
    </w:p>
    <w:p>
      <w:r>
        <w:t>Die Beschwerde ist unter Berücksichtigung des kantonalen Feiertages (Fronleichnam, 8. Juni 2023) frist- und formgerecht eingereicht (Art. 108 Abs. 3 und Art. 20 Abs. 3 VwVG, Art. 52 VwVG). Die Beschwerdeführer haben am Verfahren vor der Vorinstanz teilgenommen, sind durch die an- gefochtene Verfügung besonders berührt und haben ein schutzwürdiges Interesse an deren Aufhebung beziehungsweise Änderung. Auf die Be- schwerde ist – wie beantragt wurde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einen Schriftenwechsel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D-3405/2023 Seite 5</w:t>
      </w:r>
    </w:p>
    <w:p>
      <w:r>
        <w:rPr>
          <w:b/>
        </w:rPr>
        <w:t>E. 5.1</w:t>
      </w:r>
    </w:p>
    <w:p>
      <w:r>
        <w:t>Das SEM führte in der angefochtenen Verfügung aus, es würden sich aus den Angaben des Beschwerdeführers 1 keine Hinweise darauf erge- ben, die erlittenen Übergriffe oder Drohungen seien ihm durch staatliche Instanzen zugefügt worden. Gemäss seinen Vermutungen stünden die Parteifunktionäre der beiden Lager aus dem Präsidentschaftswahlkampf 2022 hinter den geschilderten Vorkommnissen. Übergriffe durch Dritte oder Befürchtungen, künftig solchen ausgesetzt zu sein, seien nur dann flücht- lingsrechtlich relevant, wenn der Staat weder schutzwillig noch schutzfähig sei. Schutz sei generell gewährleistet, wenn funktionierende wirksame Po- lizei- und Justizorgane zur Ermittlung, Strafverfolgung und Ahndung von Verfolgungshandlungen bestünden. Der Zugang zu diesem Schutz und dessen Inanspruchnahme müsse zumutbar sein. Der serbische Staat sei grundsätzlich schutzfähig und schutzwillig und es stehe eine funktionie- rende und effiziente Schutzinfrastruktur zu Verfügung. Aus seinen Erzäh- lungen ergäben sich keine Anhaltspunkte dafür, dass die Vermisstmeldung und die Anzeige aufgrund einer erlittenen Schlagverletzung nicht sorgfältig verfolgt würden. Dementsprechend habe sich die für die serbische Polizei- behörde formulierte Regelvermutung bestätigt. Es sei im Weiteren davon auszugehen, dass einer begründeten Furcht vor einer allfälligen Minder- behandlung durch die Auftraggeber ebenfalls mit der gebotenen polizeili- chen Sorgfalt nachgegangen würde, sofern er diese anzeige. Angesichts der einst engen Zusammenarbeit mit den Auftraggebern und jetzigen mut- masslichen Peinigern dürfe angenommen werden, dass ihm die Sammlung von verwertbaren Beweismitteln leichtfallen dürfte. Im Weiteren handle es sich bei den unterschiedlichen Schikanen und Dis- kriminierungen aufgrund der ethnischen Zugehörigkeit nicht um ernsthafte Nachteile im Sinne des Asylgesetzes, die einen Verbleib im Heimatstaat verunmöglichen oder in unzumutbarer Weise erschweren würden. Zudem habe sich die Lage der ethnischen Minderheiten in Serbien im Zuge des demokratischen Wandels merklich verbessert und im Februar 2002 sei das Gesetz über den Schutz der Rechte und Freiheiten nationaler Minderheiten in Kraft getreten, wie auch eine Reihe weiterer solcher Gesetze (Antidiskri- minierungsgesetz, Gesetz über nationale Minderheitenräte), welche Rück- sicht auf die Lage der Roma nehme. Es sei ferner mit weiteren Verbesse- rungen zu rechnen. Trotz fehlender flüchtlingsrechtlicher Relevanz der Vorbringen seien zwei Auffälligkeiten zu erwähnen: Der Beschwerdeführer 1 setze seine Auftrag- geber dem serbischen Staat gleich. Dieser müsste ihn folglich umso mehr</w:t>
      </w:r>
    </w:p>
    <w:p>
      <w:r>
        <w:t>D-3405/2023 Seite 6 schützen, als er im Sinne seiner eigenen Argumentationslinie im Wahl- kampf die «richtige Seite» unterstützt habe. Somit erschliesse sich nicht eindeutig, weshalb er Angst davor habe, sich polizeilich selbst anzuzeigen und gegen die Gegenseite vorzugehen. Weiter habe er zur Stützung seiner Behauptungen weder verwertbare Beweismittel für das Verschwinden sei- ner Exfrau und der Töchter vorlegen können noch für damit im Zusammen- hang stehende Drohungen. Er könne mit seinem Einfluss die Roma- Diaspora nutzen, um die Suche selbst in die Hand zu nehmen und den Drohungen aus eigener Kraft etwas entgegenzusetzen, sofern die serbi- schen Polizeibehörden ihn tatsächlich nicht hinreichend unterstützen soll- ten. Das beim SEM eingereichte serbische Arztzeugnis vermöge alsdann die Ursache seiner erlittenen Verletzungen nicht zu bestätigen (BV, ID-Nr. 002/1). Somit lägen keine Hinweise vor, welche die widerlegbare Vermutung des Art. 6a Abs. 2 Bst. AsylG (fehlende Verfolgungssicherheit) umstossen könnten. Die Vorbringen hielten folglich den Anforderungen an die Flücht- lingseigenschaft nicht stand, weshalb sich eine Prüfung der Glaubhaftigkeit als nicht notwendig erweise.</w:t>
      </w:r>
    </w:p>
    <w:p>
      <w:r>
        <w:rPr>
          <w:b/>
        </w:rPr>
        <w:t>E. 5.2</w:t>
      </w:r>
    </w:p>
    <w:p>
      <w:r>
        <w:t>In der Beschwerde wurde im Wesentlichen geltend gemacht, der Be- schwerdeführer 1 sei aufgrund seiner ethnischen Zugehörigkeit gesell- schaftlich zwar nie akzeptiert worden, jedoch habe er sich dank seiner Ar- beit als Metzger ein gutes Ansehen erwerben können. Er sei in eine Wahl- manipulation hineingezogen worden und werde sowohl von der SNS-Partei als auch der Oppositionspartei verfolgt. In diesem Zusammenhang würden ihn die serbischen Behörden nicht schützen. Seine politische Verfolgung sei derart intensiv, dass er nicht mehr länger im Heimatstaat habe verblei- ben können. So sei nicht nur er selbst angegriffen und geschlagen worden, sondern auch sein Sohn, was das Foto in der Beschwerdebeilage beweise. Die Intensität der Verfolgung zeige sich auch im Verschwinden seiner Ex- frau und der Töchter. Er habe die Polizei um Hilfe gebeten, jedoch bis heute keine Reaktion erhalten. Es handle sich um eine gezielte Verfolgung gegen seine Person und seine Familie. Es bestehe bei einer gesamtheitlichen Be- trachtung zudem ein Zusammenhang mit der Diskriminierung der Roma in Serbien. Obwohl der Schutz ethnischer Minderheiten als verbessert ange- sehen werden könne, sei diese in seinem speziellen Fall ein weiteres Indiz für die mangelnde Bereitschaft der Behörden ihn zu schützen. Seine kon- krete Situation sei gesamtheitlich zu betrachten.</w:t>
      </w:r>
    </w:p>
    <w:p>
      <w:r>
        <w:t>D-3405/2023 Seite 7</w:t>
      </w:r>
    </w:p>
    <w:p>
      <w:r>
        <w:rPr>
          <w:b/>
        </w:rPr>
        <w:t>E. 6.1</w:t>
      </w:r>
    </w:p>
    <w:p>
      <w:r>
        <w:t>Die Vorinstanz kam in ihrer Verfügung mit zutreffender Begründung zum Schluss, die serbischen Behörden seien schutzfähig und schutzwillig und die geltend gemachten Übergriffe deshalb flüchtlingsrechtlich nicht re- levant. Mit seiner Beschwerdeeingabe, die sich hauptsächlich in der Wie- derholung des bereits bekannten Sachverhalts erschöpft, vermag der Be- schwerdeführer den überzeugenden vorinstanzlichen Argumenten nichts Stichhaltiges entgegenzuhalten. Mit den nachfolgenden Ergänzungen kann daher zur Vermeidung von Wiederholungen auf die vorinstanzlichen Ausführungen verwiesen werden, welche vollumfänglich zu bestätigen sind.</w:t>
      </w:r>
    </w:p>
    <w:p>
      <w:r>
        <w:rPr>
          <w:b/>
        </w:rPr>
        <w:t>E. 6.2</w:t>
      </w:r>
    </w:p>
    <w:p>
      <w:r>
        <w:t>Der Bundesrat hat Serbien als sicheren Drittstaat («Safe Country») im Sinne von Art. 6a Abs. 2 Bst. a AsylG bezeichnet (vgl. Asylverordnung 1 über Verfahrensfragen vom 11. August 1999, SR 142.311, Anhang 2). Für sichere Drittstaaten besteht die gesetzliche Regelvermutung, dass eine asylrelevante staatliche Verfolgung nicht stattfinde und Schutz vor nicht- staatlicher Verfolgung gewährleistet sei. Es handelt sich hierbei um eine relative Verfolgungssicherheit, welche im Einzelfall auf Grund konkreter und substanziierter Hinweise umgestossen werden kann. Dies gelingt den Beschwerdeführern vorliegend nicht. Die Gründe hierfür wurden von der Vorinstanz zutreffend dargelegt. Die Schilderungen des Beschwerdeführers 1 hinsichtlich der Diskriminie- rungen als Roma sind als nicht asylrelevant einzustufen. Gemäss seinen eigenen Beschwerdeangaben genoss er in Serbien dank seiner Erwerbs- tätigkeit (trotz seiner Ethnie) ein gutes Ansehen, weshalb davon ausgegan- gen werden kann, dass er allfälligen Diskriminierungen nicht mehr als an- dere Roma in Serbien ausgesetzt war. Entgegen seiner Behauptung kann keine gezielte Verfolgung mit asylrechtlicher Relevanz aus seiner Ethnie – auch nicht in gesamtheitlicher Betrachtung – abgeleitet werden. Die dargelegten Vorfälle (vermisste Familienmitglieder, Angriff, Drohungen) stellen auch in Serbien Straftatbestände dar, die strafrechtlich verfolgt wer- den. Es wäre dem Beschwerdeführer zuzumuten gewesen, gegen die an- gebliche Drohung der Oppositionspartei rechtlich vorzugehen, zumal er, wie die Vorinstanz zutreffend darlegte, für die «richtige Partei» (sinnge- mässe staatliche Nähe) arbeitete. Die Behauptung, die Polizei habe auf seine Anzeigen nicht reagiert, vermögen nicht zu überzeugen. So fanden die Wahlen am 3. April 2022 statt, drei Tage danach seien angeblich die Exfrau und die Töchter verschwunden, wobei eine Vermisstmeldung erst</w:t>
      </w:r>
    </w:p>
    <w:p>
      <w:r>
        <w:t>D-3405/2023 Seite 8 24 Stunden später habe eingereicht werden können, damit am 7. April 2022. Die Drohungen hätten zur gleichen Zeit begonnen und bis zur Aus- reise am 12./13. April 2022 gedauert. Angesichts des zeitlichen Ablaufs der Ereignisse hatten die serbischen Polizeibehörden gar keine Gelegenheit, dem Beschwerdeführer 1 ihre Reaktionen, Bemühungen und Ergebnisse darzulegen beziehungsweise ihren Schutzwillen und ihre Schutzfähigkeit zu demonstrieren. Es kann seinen eigenen Schilderungen entnommen werden, dass die Polizeibehörde sich nach dem (einmaligen) Angriff um ihn gekümmert und ihn ins Spital gefahren hat, wie auch, dass sie ihm ver- sicherten, sich der beiden Anliegen (Vermisstmeldung, Angriff) anzuneh- men (A35/22, F89, F110 ff., F114 ff., F124 ff., F136 ff.). Es ist daher davon auszugehen, die serbischen Behörden würden ihm im Falle einer Rückkehr den benötigten Schutz auch weiterhin gewähren. Im Weiteren können die Beschwerdeführer aus dem beigelegten Ausdruck von Fotos des Sohnes nichts zu ihren Gunsten ableiten. Die Ursache eines angeblichen und nicht weiter substanziierten Angriffes des Sohnes bezie- hungsweise ein Zusammenhang mit den Asylvorbringen kann damit nicht belegt werden.</w:t>
      </w:r>
    </w:p>
    <w:p>
      <w:r>
        <w:rPr>
          <w:b/>
        </w:rPr>
        <w:t>E. 6.3</w:t>
      </w:r>
    </w:p>
    <w:p>
      <w:r>
        <w:t>Zusammenfassend ergibt sich, dass die Vorinstanz zu Recht die Flüchtlingseigenschaft der Beschwerdeführer verneint und die Asylgesu- che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Beschwerdeführer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D-3405/2023 Seite 9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welche die Flüchtlingseigenschaft erfüllen. Da es den Be- schwerdeführern nicht gelungen ist, eine asylrechtlich erhebliche Gefähr- dung nachzuweisen oder glaubhaft zu machen, kann der in Art. 5 AsylG verankerte Grundsatz der Nichtrückschiebung im vorliegenden Verfahren keine Anwendung finden. Eine Rückkehr der Beschwerdeführer in den Hei- matstaat ist demnach unter dem Aspekt von Art. 5 AsylG rechtmässig. Sodann ergeben sich weder aus den Aussagen der Beschwerdeführer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Beschwerdeführer eine konkrete Gefahr ("real risk") nachwei- sen oder glaubhaft machen, dass ihnen im Fall einer Rückschiebung Folter oder unmenschliche Behandlung drohen würde (vgl. Urteil des EGMR Saadi gegen Italien 28. Februar 2008, Grosse Kammer 37201/06, §§ 124–</w:t>
      </w:r>
    </w:p>
    <w:p>
      <w:r>
        <w:t>D-3405/2023 Seite 10 127 m.w.H.). Unter Hinweis auf die vorangehenden Erwägungen ist festzu- stellen, dass ihnen dies nicht gelungen ist. Insbesondere lässt eine allfäl- lige strafrechtliche Verfolgung wegen Delikte gegen die Wahlfreiheit den Vollzug nicht als unzulässig erscheinen. Auch die allgemeine Menschen- rechtssituation im Heimatstaat lässt den Wegweisungsvollzug zum heuti- gen Zeitpunkt nicht als unzulässig erscheinen. Nach dem Gesagten ist der Vollzug der Wegweisung sowohl im Sinne der landes- als auch der völker- 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w:t>
      </w:r>
    </w:p>
    <w:p>
      <w:r>
        <w:t>Die allgemeine Lage in Serbien ist weder von Bürgerkrieg noch von allgemeiner Gewalt gekennzeichnet, so dass der Vollzug der Wegweisung dorthin grundsätzlich zumutbar ist. Zudem gilt Serbien, wie erwähnt, als „Safe Country“. In individueller Hinsicht führte das SEM unter anderem aus, dass der Be- schwerdeführer 1 sich bestens in das serbische Leben habe einfügen kön- nen und sich als Metzger und Koch einen guten Namen gemacht habe. Mit über 200 Nutztieren habe er nicht nur für sich, sondern auch für seine Fa- milie eine ausserordentlich solide Lebensgrundlage aufbauen können. Darüber hinaus habe er sich für die Wohlfahrt engagiert und immer wieder mehreren hundert Randständigen zu warmer Nahrung und etwas Geld ver- holfen. Durch sein grosszügiges Verhalten habe er sich einen Namen in seinem Heimatstaat machen können und grosses Ansehen genossen. Das Bundesverwaltungsgericht schliesst sich der Einschätzung der Vorinstanz an. Es darf damit angenommen werden, dass der gesunde Beschwerde- führer 1 bei einer Rückkehr mit seinen gesunden Söhnen nach Serbien für sich und die Familie sorgen kann.</w:t>
      </w:r>
    </w:p>
    <w:p>
      <w:r>
        <w:rPr>
          <w:b/>
        </w:rPr>
        <w:t>E. 8.6</w:t>
      </w:r>
    </w:p>
    <w:p>
      <w:r>
        <w:t>Aus dem Kindeswohl gemäss Art. 3 des Übereinkommens vom 20. No- vember 1989 über die Rechte des Kindes (KRK, SR 0.107) ist ebenso kein Vollzugshindernis abzuleiten. Aufgrund der erst kurzen Aufenthaltsdauer der drei siebzehn-, knapp fünfzehn- und zwölfjährigen Kinder in der Schweiz kann ausgeschlossen werden, dass sie sich ausserhalb ihrer Kernfamilie an die schweizerische Kultur und Lebensweise derart</w:t>
      </w:r>
    </w:p>
    <w:p>
      <w:r>
        <w:t>D-3405/2023 Seite 11 angepasst hätten, dass der Vollzug der Wegweisung aus der Schweiz eine Entwurzelung darstellen würde (Ausreise aus dem Heimatland April 2022, Einreise in die Schweiz November 2022). Es ist nicht davon auszugehen, dass eine dortige Reintegration erhebliche Probleme bieten würde. Be- günstigend wirkt dabei ihre Muttersprache und dass sie bisher in Serbien zur Schule gegangen sind, wie auch die gemeinsame Rückkehr mit ihrem Vater in ihre Heimat (A36/7, F10; A37/7, F7 ff.). Die Vorbringen, die Kinder seien in der Schweiz bestens integriert, gute Schüler, würden die italieni- sche Sprache beherrschen und hätten hier Freunde gefunden, vermögen an dieser Einschätzung ebensowenig etwas zu ändern wie der Wunsch der Beschwerdeführer 2 und 3 in der Schweiz eine Ausbildung zu machen und ihre sportlichen Aktivitäten ausüben zu dürfen (A36/7, F29; A37/7, F33).</w:t>
      </w:r>
    </w:p>
    <w:p>
      <w:r>
        <w:rPr>
          <w:b/>
        </w:rPr>
        <w:t>E. 8.7</w:t>
      </w:r>
    </w:p>
    <w:p>
      <w:r>
        <w:t>Aus den genannten Gründen ist der Vollzug der Wegweisung auch zu- mutbar.</w:t>
      </w:r>
    </w:p>
    <w:p>
      <w:r>
        <w:rPr>
          <w:b/>
        </w:rPr>
        <w:t>E. 8.8</w:t>
      </w:r>
    </w:p>
    <w:p>
      <w:r>
        <w:t>Schliesslich obliegt es den Beschwerdeführern beziehungsweise dem Beschwerdeführer 1, sich bei der zuständigen Vertretung des Heimatstaa- tes die für eine Rückkehr allenfalls notwendigen Reisedokumente zu be- schaffen (vgl. Art. 8 Abs. 4 AsylG und dazu auch BVGE 2008/34 E. 12).</w:t>
      </w:r>
    </w:p>
    <w:p>
      <w:r>
        <w:rPr>
          <w:b/>
        </w:rPr>
        <w:t>E. 8.9</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Direktentscheid ist das Gesuch um Verzicht auf das Erheben eines Kostenvorschusses gegenstandslos geworden.</w:t>
      </w:r>
    </w:p>
    <w:p>
      <w:r>
        <w:rPr>
          <w:b/>
        </w:rPr>
        <w:t>E. 10.2</w:t>
      </w:r>
    </w:p>
    <w:p>
      <w:r>
        <w:t>Die Beschwerdeführer beantragten die Gewährung der unentgeltli- chen Prozessführung gemäss Art. 65 Abs. 1 VwVG. Aufgrund der vorste- henden Erwägungen ergibt sich, dass sich die Begehren als von vornhe- rein aussichtslos erweisen und es daher an einer gesetzlichen Vorausset- zung zu ihrer Gewährung fehlt.</w:t>
      </w:r>
    </w:p>
    <w:p>
      <w:r>
        <w:t>D-3405/2023 Seite 12</w:t>
      </w:r>
    </w:p>
    <w:p>
      <w:r>
        <w:rPr>
          <w:b/>
        </w:rPr>
        <w:t>E. 10.3</w:t>
      </w:r>
    </w:p>
    <w:p>
      <w:r>
        <w:t>Bei diesem Ausgang des Verfahrens sind die Kosten den Beschwer- deführern aufzuerlegen (Art. 63 Abs. 1 VwVG) und auf insgesamt Fr. 750.– festzusetzen (Art. 1–3 des Reglements vom 21. Februar 2008 über die Kosten und Entschädigungen vor dem Bundesverwaltungsgericht [VGKE, SR 173.320.2]).</w:t>
      </w:r>
    </w:p>
    <w:p>
      <w:r>
        <w:t>(Dispositiv nächste Seite)</w:t>
      </w:r>
    </w:p>
    <w:p>
      <w:r>
        <w:t>D-3405/2023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