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D-3401/2022 vom 11. August 2022</w:t>
      </w:r>
    </w:p>
    <w:p>
      <w:r>
        <w:t>Bundesverwaltungsgericht, 2022-08-11, DE</w:t>
      </w:r>
    </w:p>
    <w:p>
      <w:r>
        <w:rPr>
          <w:b/>
        </w:rPr>
        <w:t xml:space="preserve">Quelle: </w:t>
      </w:r>
      <w:r>
        <w:t>https://mcp.opencaselaw.ch/entscheid/bvger_D-3401_2022</w:t>
      </w:r>
    </w:p>
    <w:p>
      <w:r>
        <w:t>FR: TAF D-3401/2022 du 11 août 2022</w:t>
      </w:r>
    </w:p>
    <w:p>
      <w:r>
        <w:t>IT: TAF D-3401/2022 del 11 agosto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2</w:t>
      </w:r>
    </w:p>
    <w:p>
      <w:r>
        <w:t>Die Beschwerde erweist sich als offensichtlich unbegründet und ist im Verfahren einzelrichterlicher Zuständigkeit mit Zustimmung eines zweiten Richters oder einer zweiten Richterin (Art. 111 Bst. e AsylG), ohne Durchführung eines Schriftenwechsels und mit summarischer Begründung, zu behandeln (Art. 111a Abs. 1 und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Formelle Rügen sind vorab zu beurteilen, da sie allenfalls geeignet wären, eine Kassation der vorinstanzlichen Verfügung zu bewirken.</w:t>
      </w:r>
    </w:p>
    <w:p>
      <w:r>
        <w:rPr>
          <w:b/>
        </w:rPr>
        <w:t>E. 4.2.1</w:t>
      </w:r>
    </w:p>
    <w:p>
      <w:r>
        <w:t>Der Beschwerdeführer macht in diesem Zusammenhang zunächst geltend, die Vorinstanz habe den Sachverhalt bezüglich Aufenthalt ausserhalb des Dublin-Raums ungenügend erstellt. Gemäss Argumentation in der Beschwerdeeingabe hätte das SEM den slowenischen Behörden mehr Informationen zum Aufenthalt in Bosnien und Herzegowina zugänglich machen müssen beziehungsweise hätte der Beschwerdeführer diesbezüglich zusätzlich befragt werden müssen, damit eine abschliessende Prüfung der entsprechenden Glaubhaftigkeit möglich gewesen wäre.</w:t>
      </w:r>
    </w:p>
    <w:p>
      <w:r>
        <w:rPr>
          <w:b/>
        </w:rPr>
        <w:t>E. 4.2.2</w:t>
      </w:r>
    </w:p>
    <w:p>
      <w:r>
        <w:t>Dieser Rüge kann jedoch offensichtlich nicht gefolgt werden. Der Beschwerdeführer hatte im Rahmen des Dublin-Gesprächs genügend Gelegenheit, Ausführungen zu seinem Aufenthalt in Bosnien und Herzegowina zu machen und entsprechende Beweismittel vorzulegen. Weitere Nachfragen oder gar eine zusätzliche Befragung erscheinen schon deshalb nicht zielführend, als nicht recht nachvollziehbar erscheint, wie der Beschwerdeführer durch detaillierte Schilderungen von örtlichen Gegebenheiten in Bosnien und Herzegowina seinen dortigen Aufenthalt nach Asylgesuchstellung in Slowenien und während einer Dauer von mehr als drei Monaten hätte glaubhaft machen können (vgl. dazu auch nachfolgend E. 6.3).</w:t>
      </w:r>
    </w:p>
    <w:p>
      <w:r>
        <w:rPr>
          <w:b/>
        </w:rPr>
        <w:t>E. 4.2.3</w:t>
      </w:r>
    </w:p>
    <w:p>
      <w:r>
        <w:t>Das SEM hat den ihm bekannten Sachverhalt bezüglich dem Reiseverlauf sodann in gebührender Weise den slowenischen Behörden mitgeteilt und insbesondere offengelegt, dass der Beschwerdeführer geltend mache, er sei nach dem Einreichen seines Asylgesuchs rund sieben Monate in Bosnien und Herzegowina gewesen. Dabei wurde ausgeführt, dass der Beschwerdeführer angebe, nach der Registrierung des Asylgesuchs am 10. November 2021 versteckt in einem Lastwagen aus Slowenien nach Bosnien und Herzegowina gereist zu sein und bis am 22. Mai 2022 illegal im bosnischen B._______ gelebt zu haben. Die hierzu eingereichten Fotografien wurden den slowenischen Behörden zugestellt. Diesbezüglich wurde vermerkt, dass diese Eingaben einerseits keine formellen Beweise darstellen würden und dass sie andererseits nicht bestätigen könnten, dass er mehr als drei Monate in Bosnien und Herzegowina gewesen sei, da sie nur den Zeitraum vom 2. Februar 2022 bis zum 6. März 2022 betreffen würden. Ausserdem liege neben dem Eurodac-Treffer bezüglich Slowenien kein weiterer Treffer vor, der einen illegalen Eintritt bestätigen würde. Vorsorglich wurde auch bereits darauf hingewiesen, dass nicht davon ausgegangen werde, dass Art. 19 Abs. 2 oder 3 der Dublin-III-VO anwendbar sei, sofern Slowenien die Ausreise nicht beweisen könne, dies unabhängig von der langen Zeit, seitdem er in Slowenien verschwunden und nunmehr in die Schweiz eingereist sei. Dem Einwand, die Vorinstanz hätte die Dublin-III-VO falsch angewandt, da sie keine Glaubhaftigkeitsprüfung seiner Aussagen und ausführliche Würdigung zuhanden Sloweniens vorgenommen habe, kann vor diesem Hintergrund nicht gefolgt werden. Eine unvollständige oder einseitige Darlegung von Informationen kann dem Wiederaufnahmeersuchen ebenfalls nicht entnommen werden. Die slowenischen Behörden waren im Besitze aller sachdienlichen Informationen, um ihre Zuständigkeit zu überprüfen. Bei Zweifeln am durchgehenden Aufenthalt im Schengen-Raum, hätte es ihnen freigestanden, weitere Informationen vom SEM einzufordern. Eine Verletzung der Abklärungs- oder Informationspflicht ist demnach nicht auszumachen.</w:t>
      </w:r>
    </w:p>
    <w:p>
      <w:r>
        <w:rPr>
          <w:b/>
        </w:rPr>
        <w:t>E. 4.3.1</w:t>
      </w:r>
    </w:p>
    <w:p>
      <w:r>
        <w:t>Weiter wird gerügt, der Sachverhalt zur schlechten Behandlung durch die Behörden in Slowenien und zur Rücküberstellungsgefahr in die Türkei sei ungenügend erfragt worden und die Vorinstanz habe diese Vorbringen zudem in ihrem Entscheid nicht hinreichend gewürdigt, zumal sie einzig mit pauschalen Textbausteinen auf allgemein bestehende Pflichten verwiesen habe. Entgegen der Vorbringen des Beschwerdeführers hat die Vorinstanz den Sachverhalt jedoch in Rahmen des Dublin-Gesprächs genügend erstellt und in der angefochtenen Verfügung nachvollziehbar dargelegt, weshalb sie eine Überstellung in den zuständigen Dublin-Mitgliedstaat Slowenien für zulässig erachtet. Die Vorinstanz setzte sich mit seinen Vorbringen hinreichend ausführlich auseinander. Sofern sich der Beschwerdeführer mit der Lageeinschätzung der Vorinstanz zu Slowenien nicht einverstanden zeigt, betrifft dies die Frage nach der korrekten materiellen Würdigung des rechtserheblichen Sachverhalts, welche nachfolgend zu prüfen ist (vgl. E. 7.2 ff.). Es ist daher nicht ersichtlich, inwiefern die Vorinstanz den Sachverhalt unrichtig oder unvollständig festgestellt und seine Vorbringen nicht hinreichend gewürdigt hätte.</w:t>
      </w:r>
    </w:p>
    <w:p>
      <w:r>
        <w:rPr>
          <w:b/>
        </w:rPr>
        <w:t>E. 4.3.2</w:t>
      </w:r>
    </w:p>
    <w:p>
      <w:r>
        <w:t>Die formellen Rügen erweisen sich angesichts dieser Sachlage als unbegründet, weshalb keine Veranlassung besteht, die angefochtene Verfügung aufzuheben und die Sache an die Vorinstanz zurückzuweisen. Das entsprechende Rechtsbegehren ist somit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eines Wiederaufnahmeverfahrens (engl.: take back) findet grundsätzlich keine (erneute) Zuständigkeitsprüfung nach Kapitel III statt (vgl. zum Ganzen BVGE 2017 VI/5 E. 6.2 und 8.2.1 m.w.H.).</w:t>
      </w:r>
    </w:p>
    <w:p>
      <w:r>
        <w:rPr>
          <w:b/>
        </w:rPr>
        <w:t>E. 5.3</w:t>
      </w:r>
    </w:p>
    <w:p>
      <w:r>
        <w:t>Der nach dieser Verordnung zuständige Mitgliedstaat ist verpflichtet, die antragstellende Person, die während der Prüfung ihres Antrags in einem anderen Mitgliedstaat einen Antrag gestellt hat oder die sich im Hoheitsgebiet eines anderen Mitgliedstaats ohne Aufenthaltstitel aufhält, nach Massgabe der Artikel 23, 24, 25 und 29 wiederaufzunehmen (Art. 18 Abs. 1 Bst. b Dublin-III-VO). Diese Verpflichtung erlischt, wenn der Gesuchsteller oder eine andere Person gemäss Art. 18 Abs. 1 Bst. c oder d das Hoheitsgebiet der Mitgliedstaaten während einer Dauer von mindestens drei Monaten verlassen hat, ausser die Person verfüge über einen durch den zuständigen Mitgliedstaat ausgestellten Aufenthaltstitel (Art. 19 Abs. 2 Dublin-III-VO). Art. 19 Abs. 2 Dublin-III-VO regelt ausdrücklich, dass die Beweislast für das Vorliegen des gegenständlichen ausnahmsweisen Endigungstatbestandes dem bisher zuständigen, also dem ersuchten Mitgliedstaat zuzuweisen ist (vgl. Filzwieser/Sprung, Dublin III-Verordnung, Wien 2014, K9 zu Art. 19). Ein betreffend Art. 19 Abs. 2 relevantes Vorbringen ist dem ersuchten (bisher zuständigen) Mitgliedstaat (gegebenenfalls mit einer nachvollziehbaren negativen Glaubwürdigkeitseinschätzung) zu übermitteln. Nur so kann der ersuchte Mitgliedstaat das allfällige Vorliegen des Endigungstatbestandes des Art. 19 Abs. 2 beurteilen und die formelle Zuweisung der Beweislast an ihn inhaltlich gerechtfertigt werden (a.a.O., K10 zu Art. 19).</w:t>
      </w:r>
    </w:p>
    <w:p>
      <w:r>
        <w:rPr>
          <w:b/>
        </w:rPr>
        <w:t>E. 6.1</w:t>
      </w:r>
    </w:p>
    <w:p>
      <w:r>
        <w:t>Der Beschwerdeführer bestreitet nicht, in Slowenien am 9. November 2021 ein Asylgesuch eingereicht zu haben und dort auch daktyloskopisch erfasst worden zu sein. Er bestreitet aber die grundsätzliche Zuständigkeit Sloweniens, da er sich darauf beruft, dass aufgrund seines mehrmonatigen Aufenthalts ausserhalb des Dublin-Raumes (konkret in Bosnien und Herzegowina) dessen Zuständigkeit gemäss Art. 19 Abs. 2 Dublin-III-VO erloschen sei.</w:t>
      </w:r>
    </w:p>
    <w:p>
      <w:r>
        <w:rPr>
          <w:b/>
        </w:rPr>
        <w:t>E. 6.2</w:t>
      </w:r>
    </w:p>
    <w:p>
      <w:r>
        <w:t>Weder im vorinstanzlichen Verfahren noch auf Beschwerdeebene reichte der Beschwerdeführer Beweismittel gemäss Art. 22 Abs. 3 Bst. a/i Dublin-III-VO in Verbindung mit Anhang II, Verzeichnis A der Durchführungsverordnung (EU) Nr. 118/2014 der Kommission vom 30. Januar 2014 zur Änderung der Verordnung (EG) Nr. 1560/2003 mit Durchführungsbestimmungen zur Verordnung (EG) Nr. 343/2003 des Rates zur Festlegung der Kriterien und Verfahren zur Bestimmung des Mitgliedstaats, der für die Prüfung eines von einem Drittstaatsangehörigen in einem Mitgliedstaat gestellten Asylantrags zuständig ist (Durchführungsverordnung), ein. Seine Vorbringen und die von ihm eingereichten Fotos stellen bestenfalls Indizien im Sinne von Art. 22 Abs. 3 Bst. b/i Dublin-III-VO in Verbindung mit Anhang II, Verzeichnis B der Durchführungsverordnung dar. Das Gericht kommt in Übereinstimmung mit der Vorinstanz zum Schluss, dass die eingereichten Fotos nicht geeignet sind, einen mehrmonatigen Aufenthalt in Bosnien und Herzegowina zu belegen. Die mittels Screenshots nachgewiesenen Aufnahmedaten der Fotos sind einerseits leicht manipulierbar. Aber selbst wenn davon ausgegangen wird, die Fotos und deren Metadaten wären authentisch, würden sie andererseits maximal eine einmonatige Anwesenheit in Bosnien und Herzegowina dokumentieren. Daran kann das auf Beschwerdeebene eingereichte Foto vom 25. November 2021 nichts ändern, zumal darauf in keiner Weise ersichtlich wird, dass sich der Beschwerdeführer zu diesem Zeitpunkt tatsächlich nicht mehr in Slowenien befand. Im Übrigen erscheint wenig lebensnah, dass er - abgesehen von sieben Fotos - keine Nachweise dafür haben soll, dass er sich während sieben Monate ausserhalb des Dublin-Raums aufgehalten habe. Seine Behauptung, er habe vorher ein anderes Telefon mit weiteren Beweisen gehabt, welches ihm aber gestohlen worden sei, überzeugt nicht. Insgesamt ist vor diesem Hintergrund festzuhalten, dass es ihm - auch unter Berücksichtigung des im Rahmen der Dublin-III-VO anzuwendenden reduzierten Beweismasses - nicht gelungen ist, den behaupteten Aufenthalt ausserhalb des Dublin-Raums von mehr als drei Monaten nach Asylgesuchstellung glaubhaft zu machen. Daran vermöchten auch detaillierte Schilderungen zu Örtlichkeiten in Bosnien und Herzegowina offensichtlich nichts zu ändern. Die grundsätzliche Zuständigkeit von Slowenien ist somit gegeben.</w:t>
      </w:r>
    </w:p>
    <w:p>
      <w:r>
        <w:rPr>
          <w:b/>
        </w:rPr>
        <w:t>E. 7.1</w:t>
      </w:r>
    </w:p>
    <w:p>
      <w:r>
        <w:t>Im Lichte von Art. 3 Abs. 2 Dublin-III-VO ist zu prüfen, ob es wesentliche Gründe für die Annahme gibt, das Asylverfahren und die Aufnahmebedingungen für Asylsuchende in Slowenien würden systemische Schwachstellen aufweisen.</w:t>
      </w:r>
    </w:p>
    <w:p>
      <w:r>
        <w:rPr>
          <w:b/>
        </w:rPr>
        <w:t>E. 7.2</w:t>
      </w:r>
    </w:p>
    <w:p>
      <w:r>
        <w:t>Slowenien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 Bundesverwaltungsgericht geht in ständiger Rechtsprechung davon aus, dass das slowenische Asylsystem keine systemischen Mängel im Sinne von Art. 3 Abs. 2 zweiter Satz Dublin-III-VO aufweist (vgl. etwa Urteile des BVGer F-967/2022 vom 7. März 2022 E.7.2; F-5473/2021 vom 28. Dezember 2021 E. 5.2; E-5437/2021 vom 20. Dezember 2021 E. 4.3). Daran vermögen die nicht substantiierten Befürchtungen des Beschwerdeführers nichts zu ändern.</w:t>
      </w:r>
    </w:p>
    <w:p>
      <w:r>
        <w:rPr>
          <w:b/>
        </w:rPr>
        <w:t>E. 7.3</w:t>
      </w:r>
    </w:p>
    <w:p>
      <w:r>
        <w:t>Unter diesen Umständen ist die Anwendung von Art. 3 Abs. 2 Dublin-III-VO nicht gerechtfertigt.</w:t>
      </w:r>
    </w:p>
    <w:p>
      <w:r>
        <w:rPr>
          <w:b/>
        </w:rPr>
        <w:t>E. 8.1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 Weiter ist zu prüfen, ob das SEM gemäss Art. 17 Abs. 1 Satz 1 Dublin-III-VO vom sogenannten Selbsteintrittsrecht hätte Gebrauch machen müssen.</w:t>
      </w:r>
    </w:p>
    <w:p>
      <w:r>
        <w:rPr>
          <w:b/>
        </w:rPr>
        <w:t>E. 8.2</w:t>
      </w:r>
    </w:p>
    <w:p>
      <w:r>
        <w:t>Die slowenischen Behörden stimmten der Wiederaufnahme des Beschwerdeführers gestützt auf Art. 18 Abs. 1 Bst. b Dublin-III-VO zu. Damit haben sie signalisiert, die Verantwortung für das Asylverfahren übernehmen zu wollen. Der Beschwerdeführer hat in diesem Zusammenhang kein konkretes und ernsthaftes Risiko dargetan, die slowenischen Behörden würden sich weigern, ihn wiederaufzunehmen und seinen Antrag auf internationalen Schutz unter Einhaltung der Regeln der Verfahrensrichtlinie zu prüfen. Er hat in diesem Zusammenhang mit seiner nicht weiter substantiierten Befürchtung, Slowenien würde ihn aufgrund der guten Beziehungen zum türkischen Staat unmittelbar in die Türkei rücküberstellen, offenkundig nichts geltend gemacht, was die Vermutung einer völker- und gemeinschafsrechtskonformer Behandlung durch Slowenien ernsthaft erschüttern könnte. Den Akten sind somit keine Gründe für die Annahme zu entnehmen, Slowenien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An der Zulässigkeit der Überstellung vermag auch nicht zu ändern, dass sich der Beschwerdeführer nach Einreise offenbar einer Leibesvisitation hat unterziehen müssen und versucht worden sei, ihn nach Kroatien zurückzuschieben. So stellte die Vorinstanz zu Recht fest, die slowenischen Behörden hätten das Recht illegal Einreisende zu untersuchen. Überdies ist darauf hinzuweisen, dass er sich in Bezug auf die geltend gemachte schlechte Behandlung seitens der slowenischen Polizei nötigenfalls an die slowenischen Behörden wenden und seine Rechte auf dem Rechtsweg einfordern kann. Slowenien ist ein funktionierender Rechtsstaat und die Behörden sind gewillt und fähig, staatlichen Schutz zu gewähren.</w:t>
      </w:r>
    </w:p>
    <w:p>
      <w:r>
        <w:rPr>
          <w:b/>
        </w:rPr>
        <w:t>E. 8.3</w:t>
      </w:r>
    </w:p>
    <w:p>
      <w:r>
        <w:t>Der Beschwerdeführer wurde in Slowenien - wenn auch angeblich gegen seinen Willen - als Asylsuchender registriert. Klarzustellen gilt es an dieser Stelle, dass die Dublin-III-VO den Schutzsuchenden kein Recht einräumt, den ihren Antrag prüfenden Staat selber auszuwählen (vgl. BVGE 2010/45 E. 8.3). Die Abnahme der Fingerabdrücke von illegal einreisenden Ausländern und Asylsuchenden wiederum stützt sich auf die Eurodac-Verordnung und erweist sich somit als legitim (vgl. beispielsweise Urteile des BVGer F-1010/2022 vom 11. März 2022 E. 3.2, F-967/2022 vom 7. März 2022 E. 7.3 oder F-599/2022 vom 14. Februar 2022 E. 3).</w:t>
      </w:r>
    </w:p>
    <w:p>
      <w:r>
        <w:rPr>
          <w:b/>
        </w:rPr>
        <w:t>E. 8.4</w:t>
      </w:r>
    </w:p>
    <w:p>
      <w:r>
        <w:t>Des Weiteren liegen keine konkreten Anhaltspunkte vor, wonach die Gesundheit des Beschwerdeführers bei einer Überstellung nach Slowenien ernsthaft gefährdet würde. Nach der Behandlung seiner Zahnprobleme liegen keine Hinweise vor, dass er aktuell an weiteren gesundheitlichen Beeinträchtigungen leide und künftig weitere medizinischen Behandlungen benötige. Ferner verfügt Slowenien über eine ausreichende medizinische Infrastruktur und es bestehen keine Anhaltspunkte, wonach ihm dort eine adäquate medizinische Behandlung verweigert würde.</w:t>
      </w:r>
    </w:p>
    <w:p>
      <w:r>
        <w:rPr>
          <w:b/>
        </w:rPr>
        <w:t>E. 8.5</w:t>
      </w:r>
    </w:p>
    <w:p>
      <w:r>
        <w:t>Die Vorinstanz hat somit das Selbsteintrittsrecht von Art. 17 Dublin-III-VO sowie Art. 29a Abs. 3 AsylV 1 zu Recht nicht ausgeübt. Weder ist die Schweiz völkerrechtlich verpflichtet, auf das Asylgesuch einzutreten, noch liegen humanitäre Gründe vor, welche einen Selbsteintritt nahelegen würden.</w:t>
      </w:r>
    </w:p>
    <w:p>
      <w:r>
        <w:rPr>
          <w:b/>
        </w:rPr>
        <w:t>E. 9</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Slowenien in Anwendung von Art. 44 AsylG ebenfalls zu Recht angeordnet (Art. 32 Bst. a AsylV 1).</w:t>
      </w:r>
    </w:p>
    <w:p>
      <w:r>
        <w:rPr>
          <w:b/>
        </w:rPr>
        <w:t>E. 10</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11</w:t>
      </w:r>
    </w:p>
    <w:p>
      <w:r>
        <w:t>Mit dem vorliegenden Urteil in der Hauptsache sind die Gesuche um Gewährung der aufschiebenden Wirkung und um Verzicht auf die Erhebung eines Kostenvorschusses gegenstandslos geworden. Der am 8. August 2022 angeordnete Vollzugsstopp fällt mit vorliegendem Urteil dahin.</w:t>
      </w:r>
    </w:p>
    <w:p>
      <w:r>
        <w:rPr>
          <w:b/>
        </w:rPr>
        <w:t>E. 12.1</w:t>
      </w:r>
    </w:p>
    <w:p>
      <w:r>
        <w:t>Die Begehren waren - wie sich aus den vorstehenden Erwägungen ergibt - als aussichtslos zu bezeichnen, weshalb das Gesuch um Gewährung der unentgeltlichen Prozessführung gemäss Art. 65 Abs. 1 VwVG unbesehen der geltend gemachten Bedürftigkeit abzuweisen ist.</w:t>
      </w:r>
    </w:p>
    <w:p>
      <w:r>
        <w:rPr>
          <w:b/>
        </w:rPr>
        <w:t>E. 12.2</w:t>
      </w:r>
    </w:p>
    <w:p>
      <w:r>
        <w:t>Bei diesem Ausgang des Verfahrens sind die Kosten von Fr. 750.- (Art. 1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