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D-33/2016 vom 1. Juni 2016</w:t>
      </w:r>
    </w:p>
    <w:p>
      <w:r>
        <w:t>Bundesverwaltungsgericht, 2016-06-01, DE</w:t>
      </w:r>
    </w:p>
    <w:p>
      <w:r>
        <w:rPr>
          <w:b/>
        </w:rPr>
        <w:t xml:space="preserve">Quelle: </w:t>
      </w:r>
      <w:r>
        <w:t>https://mcp.opencaselaw.ch/entscheid/bvger_D-33_2016</w:t>
      </w:r>
    </w:p>
    <w:p>
      <w:r>
        <w:t>FR: TAF D-33/2016 du 1 juin 2016</w:t>
      </w:r>
    </w:p>
    <w:p>
      <w:r>
        <w:t>IT: TAF D-33/2016 del 1 giugno 2016</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2 AsylG; Art. 48 Abs. 1 sowie Art. 52 VwVG). Auf die Beschwerde ist einzutreten.</w:t>
      </w:r>
    </w:p>
    <w:p>
      <w:r>
        <w:rPr>
          <w:b/>
        </w:rPr>
        <w:t>E. 1.3</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1.4</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1.5</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1.6</w:t>
      </w:r>
    </w:p>
    <w:p>
      <w:r>
        <w:t>Das vorliegende Beschwerdeverfahren ist aufgrund des engen Sachzusammenhangs mit denjenigen der von der Vorinstanz separat beurteilten Asylgesuche der volljährigen Kinder (Auflistung von Namen und Geschäftsnummern derselben) koordiniert zu behandeln. Aus Gründen der Übersichtlichkeit ergehen für die beiden volljährigen Kinder der Beschwerdeführenden je gesonderte Urteile.</w:t>
      </w:r>
    </w:p>
    <w:p>
      <w:r>
        <w:rPr>
          <w:b/>
        </w:rPr>
        <w:t>E. 2.1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2.2</w:t>
      </w:r>
    </w:p>
    <w:p>
      <w:r>
        <w:t>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w:t>
      </w:r>
    </w:p>
    <w:p>
      <w:r>
        <w:rPr>
          <w:b/>
        </w:rPr>
        <w:t>E. 2.3</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Sowohl der Mitgliedstaat, in dem ein Antrag auf internationalen Schutz gestellt worden ist und der das Verfahren zur Bestimmung des zuständigen Mitgliedstaates durchführt, als auch der zuständige Mitgliedstaat kann vor der Erstentscheidung in der Sache jederzeit einen anderen Mitgliedstaat ersuchen, den Antragsteller aus humanitären Gründen oder zum Zweck der Zusammenführung verwandter Personen aufzunehmen, wobei die betroffenen Personen diesem Vorgehen schriftlich zustimmen müssen (Art . 17 Abs. 2 Satz 1 Dublin-III-VO; sog. humanitäre Klausel).</w:t>
      </w:r>
    </w:p>
    <w:p>
      <w:r>
        <w:rPr>
          <w:b/>
        </w:rPr>
        <w:t>E. 3.1</w:t>
      </w:r>
    </w:p>
    <w:p>
      <w:r>
        <w:t>Am 26. August 2015 ersuchte das SEM die italienischen Behörden um Übernahme der Beschwerdeführenden gestützt auf Art. 13 Abs. 1 Dublin-III-VO. Die italienischen Behörden liessen das Übernahmeersuchen innert der in Art. 22 Abs. 1 Dublin-III-VO vorgesehenen Frist zunächst unbeantwortet, stimmten aber danach am 24. November 2015 einer Übernahme ausdrücklich zu.</w:t>
      </w:r>
    </w:p>
    <w:p>
      <w:r>
        <w:rPr>
          <w:b/>
        </w:rPr>
        <w:t>E. 3.2</w:t>
      </w:r>
    </w:p>
    <w:p>
      <w:r>
        <w:t>Die grundsätzliche Zuständigkeit Italiens wird von den Beschwerdeführenden zwar in ihrer Rechtsmitteleingabe mit dem Hinweis bestritten, die Regelung von Art. 22 Abs. 7 Dublin-III-VO zur Zustimmungsfiktion bedeute, dass die Zuständigkeit nach Ablauf der zweimonatigen Frist nur dann auf den ersuchten Mitgliedstaat übergehen könne, wenn die neue Zuständigkeit nicht gegen völkerrechtliche Regelungen verstosse. Angesichts der in Ziffer 3.1 dargelegten Umstände der Zustimmung der italienischen Behörden vermag dieser Einwand nicht zu einer anderen Einschätzung zu führen. Das SEM hat sich im angefochtenen Entscheid in korrekter Weise zur Zuständigkeit Italiens zur Durchführung des Asyl- und Wegweisungsverfahrens gemäss Dublin-III-VO geäussert. Dass es dabei - entgegen der in der Beschwerdeschrift geäusserten Ansicht - zum Schluss gekommen ist, dass Italien eine genügend konkrete Zusicherung abgegeben habe und den Beschwerdeführenden durch die Überstellung nach Italien keine Menschenrechtsverletzungen drohen würden, vermag an der grundsätzlichen Zuständigkeit Italiens nichts zu ändern. Demzufolge ist die Zuständigkeit Italiens gegeben.</w:t>
      </w:r>
    </w:p>
    <w:p>
      <w:r>
        <w:rPr>
          <w:b/>
        </w:rPr>
        <w:t>E. 3.3</w:t>
      </w:r>
    </w:p>
    <w:p>
      <w:r>
        <w:t>Im Weiteren rügen die Beschwerdeführenden auf Beschwerdeebene im Wesentlichen, es liege keine genügende individuelle Zusicherung der italienischen Behörden für das Vorhandensein einer konkreten Unterkunft für sie und ihre minderjährigen Kinder vor. Das Bundesverwaltungsgericht ging in BVGE 2015/4 ausführlich auf den Entscheid des EGMR Tarakhel gegen Schweiz vom 4. November 2014, Grosse Kammer, Nr. 29217/12, ein und führte darin unter anderem aus, es müsse im Zeitpunkt der Verfügung der Vorinstanz eine konkretisierte individuelle Zusicherung insbesondere unter Namens- und Altersangaben der betroffenen Personen vorliegen, mit welcher namentlich garantiert werde, dass eine dem Alter des Kindes entsprechende Unterkunft bei der Ankunft der Familie in Italien zur Verfügung stehe und die Familie bei der Unterbringung nicht getrennt werde (ebd. E. 4.3). Aus dem Schreiben der italienischen Behörden vom 24. November 2015 geht hervor, dass die Beschwerdeführenden unter expliziter Namensnennung und Altersangabe als Familiengemeinschaft (nucleo familiare) betrachtet werden. Diese Angaben entsprechen weitestgehend den in BVGE 2015/4 E. 4.3 S. 78 explizit genannten Anforderungen an eine individuelle Zusicherung. Dieses Schreiben stellt somit eine gemäss dem Entscheid Tarakhel und BVGE 2015/4 geforderte Garantieerklärung der italienischen Behörden dar. Zwar äussert sich dieses Schreiben nicht zur konkreten Unterbringung, sondern fügt lediglich an, dass sich die Beschwerdeführenden nach der Überstellung bei den zuständigen Behörden in K._______ zu melden hätten. Dem Schreiben ist ausdrücklich zu entnehmen, dass die Familie in Übereinstimmung mit dem Rundschreiben vom 8. Juni 2015 untergebracht werde. Die erwähnte individuelle Zusicherung muss demnach im Zusammenhang mit den vom italienischen Staat abgegebenen allgemeinen Garantien (Rundschreiben vom 2. Februar 2015 und vom 8. Juni 2015) gesehen werden, wonach sämtliche Familien, welche im Rahmen des Dublin-Übereinkommens nach Italien überstellt würden, unter Wahrung der Einheit der Familie in einer familiengerechten Unterbringung - unter Hinweis auf eine Liste von SPRAR-Projekten - aufgenommen würden. Daraus wird deutlich, dass es Italien offenbar gelungen ist, familiengerechte Unterbringungsplätze zu schaffen. In seinem Koordinationsurteil D-6358/2015 vom 7. April 2016 E. 5.2 (zur Publikation vorgesehen) hielt das Bundesverwaltungsgericht fest, dass die italienischen Behörden in neueren Dublin-Fällen einen entsprechenden Passus ausdrücklich in die individuelle Zusicherung aufnehmen würden, wonach die jeweilige Familie in Übereinstimmung mit dem Rundschreiben vom 8. Juni 2015 untergebracht werde ("This family will be accommodated in accordance to the circular letter of the 8th of June 2015."), wodurch der bisherige implizite Hinweis nunmehr explizit in die jeweilige individuelle Garantie aufgenommen worden sei. Einen solchen Passus haben die italienischen Behörden wie erwähnt vorliegend in ihrer Zusicherung aufgenommen. Zudem wurde im oben erwähnten Koordinationsurteil angeführt, dass die Zusicherung der italienischen Behörden darin bestehe, dass für familiengerechte Unterbringungsplätze kontinuierlich gesorgt werde, es sich bei den SPRAR-Projekten somit um ein bewirtschaftetes System handle, das sein Angebot aufgrund der bestehenden Bedürfnisse auszurichten versuche. Da es sich bei Italien - trotz gewisser Probleme bei der Unterbringung von Asylsuchenden - um einen funktionierenden Rechtsstaat handle, könnten an die Zusicherung keine überhöhten Anforderungen gestellt werden, indem etwa verlangt würde, dass die Unterkunft genau benannt werde, was ohnehin kaum praktikabel wäre. Im Lichte obiger Ausführungen ist demnach zusammenfassend festzuhalten, dass das vorliegende System von konkreten Zusicherungen unter Namens- und Altersangabe sowie Anerkennung der Familieneinheit, zusammen mit einem ausdrücklichen Hinweis auf allgemeine Garantien einer familiengerechten Unterbringung in der Form von Rundschreiben, eine hinreichend konkretisierte und individualisierte Zusicherung im Sinne der Anforderungen gemäss BVGE 2015/4 darstellt.</w:t>
      </w:r>
    </w:p>
    <w:p>
      <w:r>
        <w:rPr>
          <w:b/>
        </w:rPr>
        <w:t>E. 3.4</w:t>
      </w:r>
    </w:p>
    <w:p>
      <w:r>
        <w:t>Sodann wird auch mit dem Hinweis auf die gesundheitlichen Schwierigkeiten der Beschwerdeführenden (Nennung Leiden) die grundsätzliche Zuständigkeit Italiens nicht widerlegt, da aus diesem Umstand nicht zu schliessen ist, die Überstellung nach Italien setze sie einer Gefahr für die Gesundheit aus und verletze damit Art. 3 EMRK. Diesbezüglich ist festzuhalten, dass eine zwangsweise Rückweisung von Personen mit gesundheitlichen Problemen nur dann einen Verstoss gegen Art. 3 EMRK darstellen kann, wenn die betroffene Person sich in einem fortgeschrittenen oder terminalen Krankheitsstadium und bereits in Todesnähe befindet (vgl. Urteile des EGMR N. gegen Vereinigtes Königreich vom 27. Mai 2008, 26565/05; A.S. gegen Schweiz vom 30. Juni 2015, 39350/13; BVGE 2011/9 E. 7, 2009/2 E. 9.1.3), was in casu nicht der Fall ist. Im Übrigen verfügt Italien über eine ausreichende medizinische Infrastruktur und es darf auch davon ausgegangen werden, dass den Beschwerdeführenden der Zugang zu einer allenfalls notwendigen medizinischen Versorgung möglich ist. Ohnehin müssen die Mitgliedstaaten den Antragstellern die erforderliche medizinische Versorgung, die zumindest die Notversorgung und die unbedingt erforderliche Behandlung von Krankheiten umfasst, zugänglich machen (Art. 19 Abs. 1 Aufnahmerichtlinie), und den Antragstellern mit besonderen Bedürfnissen die erforderliche medizinische oder sonstige Hilfe gewähren (Art. 19 Abs. 2 Aufnahmerichtlinie). Es wird Sache der Vollzugbehörden sein, die italienischen Behörden vorgängig detailliert über die spezifischen medizinischen Umstände und den indizierten Behandlungsbedarf zu informieren (vgl. Art. 31 f. Dublin-III-VO), worum die italienischen Behörden in ihrem Zustimmungsschreiben vom 24. November 2015 denn auch ausdrücklich ersucht haben.</w:t>
      </w:r>
    </w:p>
    <w:p>
      <w:r>
        <w:rPr>
          <w:b/>
        </w:rPr>
        <w:t>E. 3.5</w:t>
      </w:r>
    </w:p>
    <w:p>
      <w:r>
        <w:t>Ebenfalls als unbegründet erweist sich der Einwand, wonach das Kindeswohl einer Überstellung nach Italien entgegenstehe, zumal sich die Beschwerdeführenden erst seit August 2015 in der Schweiz aufhalten und die beiden minderjährigen Kinder daher noch nicht als derart in der Schweiz verwurzelt gelten können, dass zwingend ein Selbsteintritt der Schweiz zu geschehen hätte. Überdies sind die SPRAR-Projekte gemäss Rundschreiben vom 8. Juni 2015 speziell auch auf die Bedürfnisse Minderjähriger ausgerichtet. Die Voraussetzungen eines Selbsteintritts gemäss Art. 17 Abs. 1 Satz 1 Dublin-III-VO sind somit zu verneinen.</w:t>
      </w:r>
    </w:p>
    <w:p>
      <w:r>
        <w:rPr>
          <w:b/>
        </w:rPr>
        <w:t>E. 3.6</w:t>
      </w:r>
    </w:p>
    <w:p>
      <w:r>
        <w:t>Die Beschwerdeführenden können auch aus der Bestimmung von Art. 29a Abs. 3 AsylV 1 nichts für sich ableiten, da diese (in Verbindung mit Art. 17 Abs. 1 Dublin-III-VO) dem SEM einen Ermessensspielraum einräumt und vor dem Hintergrund der persönlichen Situation der Beschwerdeführenden und der genügenden Auseinandersetzung des Staatssekretariats mit dieser kein Anlass zur Annahme besteht, das SEM hätte seinen Ermessensspielraum nicht ordnungsgemäss genutzt, womit jedenfalls keine Rechtsverletzung im Sinne von Art. 106 Abs. 1 AsylG ersichtlich ist (vgl. BVGE 2015/9 E. 4 ff.). Das SEM führte sodann in zutreffender Weise aus, weshalb es sich bei den sich in der Schweiz aufhaltenden volljährigen Kindern beziehungsweise Geschwistern der Beschwerdeführenden (I._______ und J._______) nicht um Familienangehörige im Sinne von Art. 2 Bst. g Dublin-III-VO handelt, und gab in korrekter Weise an, aus welchen Gründen die Voraussetzungen von Art. 16 Dublin-III-VO nicht vorliegen, weshalb zur Vermeidung von Wiederholungen auf die zutreffenden Ausführungen im angefochtenen Entscheid verwiesen werden kann. Auch hielt die Vorinstanz zu Recht fest, dass die Prüfung der Zuständigkeit für die Durchführung des Asyl- und Wegweisungsverfahrens im Falle der beiden volljährigen Kinder ebenfalls Italien ergeben habe und sich die Beschwerdeführenden an die italienischen Behörden wenden könnten, falls sie eine Unterbringung in der Nähe ihrer Kinder wünschten.</w:t>
      </w:r>
    </w:p>
    <w:p>
      <w:r>
        <w:rPr>
          <w:b/>
        </w:rPr>
        <w:t>E. 4.1</w:t>
      </w:r>
    </w:p>
    <w:p>
      <w:r>
        <w:t>Das SEM ist demnach zu Recht in Anwendung von Art. 31a Abs. 1 Bst. b AsylG auf die Asylgesuche der Beschwerdeführenden nicht eingetreten, weshalb dem Antrag auf Rückweisung der Sache zur vollständigen Abklärung des Sachverhalts und zur Neubeurteilung durch die Vorinstanz nicht stattzugeben ist. Da die Beschwerdeführenden nicht im Besitz einer gültigen Aufenthalts- oder Niederlassungsbewilligung sind, wurde die Überstellung nach Italien in Anwendung von Art. 44 AsylG ebenfalls zu Recht angeordnet (Art. 32 Bst. a AsylV 1).</w:t>
      </w:r>
    </w:p>
    <w:p>
      <w:r>
        <w:rPr>
          <w:b/>
        </w:rPr>
        <w:t>E. 4.2</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2010/45 E. 10).</w:t>
      </w:r>
    </w:p>
    <w:p>
      <w:r>
        <w:rPr>
          <w:b/>
        </w:rPr>
        <w:t>E. 5</w:t>
      </w:r>
    </w:p>
    <w:p>
      <w:r>
        <w:t>Nach dem Gesagten ist die Beschwerde abzuweisen und die Verfügung des SEM zu bestätigen.</w:t>
      </w:r>
    </w:p>
    <w:p>
      <w:r>
        <w:rPr>
          <w:b/>
        </w:rPr>
        <w:t>E. 5.1</w:t>
      </w:r>
    </w:p>
    <w:p>
      <w:r>
        <w:t>Das Beschwerdeverfahren ist mit vorliegendem Urteil abgeschlossen, weshalb sich die Anträge auf Erteilung der aufschiebenden Wirkung und auf Erlass des Kostenvorschusses als gegenstandslos erweisen</w:t>
      </w:r>
    </w:p>
    <w:p>
      <w:r>
        <w:rPr>
          <w:b/>
        </w:rPr>
        <w:t>E. 6</w:t>
      </w:r>
    </w:p>
    <w:p>
      <w:r>
        <w:t>Bei diesem Ausgang des Verfahrens wären die Kosten grundsätzlich den Beschwerdeführenden aufzuerlegen (Art. 63 Abs. 1 VwVG). Da die Beschwerdebegehren zum Zeitpunkt deren Einreichung nicht als aussichtslos erschienen, ist das Gesuch um Gewährung der unentgeltlichen Prozessführung gemäss Art. 65 Abs. 1 VwVG gutzuheissen und es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