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D-3398/2011 vom 23. November 2012</w:t>
      </w:r>
    </w:p>
    <w:p>
      <w:r>
        <w:t>Bundesverwaltungsgericht, 2012-11-23, DE</w:t>
      </w:r>
    </w:p>
    <w:p>
      <w:r>
        <w:rPr>
          <w:b/>
        </w:rPr>
        <w:t xml:space="preserve">Quelle: </w:t>
      </w:r>
      <w:r>
        <w:t>https://mcp.opencaselaw.ch/entscheid/bvger_D-3398_2011</w:t>
      </w:r>
    </w:p>
    <w:p>
      <w:r>
        <w:t>FR: TAF D-3398/2011 du 23 novembre 2012</w:t>
      </w:r>
    </w:p>
    <w:p>
      <w:r>
        <w:t>IT: TAF D-3398/2011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4.2</w:t>
      </w:r>
    </w:p>
    <w:p>
      <w:r>
        <w:t>Die Vorinstanz hat in der angefochtenen Verfügung unter Angabe der Fundstellen in den jeweiligen Protokollen schlüssig aufgezeigt, weshalb die Aussagen des Beschwerdeführers widersprüchlich, unsubstanziiert und deshalb unglaubhaft sind. Nach Prüfung der Akten besteht für das Bundesverwaltungsgericht keine Veranlassung, die vorinstanzlichen Erwägungen und gezogenen Schlussfolgerungen zu beanstanden. Um Wie­derholungen zu vermeiden, kann daher auf die zutreffenden Ausführungen des BFM in der angefochtenen Verfügung verwiesen werden.</w:t>
      </w:r>
    </w:p>
    <w:p>
      <w:r>
        <w:rPr>
          <w:b/>
        </w:rPr>
        <w:t>E. 4.3</w:t>
      </w:r>
    </w:p>
    <w:p>
      <w:r>
        <w:t>Die Vorbringen in der Rechtsmitteleingabe sind nicht geeignet, eine Änderung der angefochtenen Verfügung zu bewirken. Eine Auseinandersetzung mit den dem Beschwerdeführer von der Vorinstanz vorgeworfenen Unglaubhaftigkeitselementen unterbleibt. Lediglich mit dem Hinweis auf die Publikation der Schweizerischen Flüchtlingshilfe (SFH) vom 1. Dezember 2010 (Rainer Mattern, Sri Lanka: Aktuelle Situation, Update) wird ausgeführt, der Beschwerdeführer würde gemäss dem SFH-Bericht zur besonders gefährdeten Personengruppe gehören, die im Fall einer Rückkehr staatlichen Verfolgungsmassnahmen ausgesetzt wäre, weshalb ihm die Flüchtlingseigenschaft zuzusprechen sei. Allein mit diesem pauschalen Verweis auf den erwähnten Bericht wird aber, insbesondere in Beachtung des vom Beschwerdeführer geltend gemachten und als unglaubhaft erachteten Sachverhalts, nicht dargetan, inwiefern er einer Risikogruppe im Sinne der Rechtsprechung (vgl. BVGE 2011/24 E. 8 S. 493 ff) zuzuordnen wäre. Mangels anderweitiger Hinweise oder Aufschlüsse für eine (asyl-) relevante Gefährdungssituation des Beschwerdeführers erübrigen sich daher weitere Erörterungen.</w:t>
      </w:r>
    </w:p>
    <w:p>
      <w:r>
        <w:rPr>
          <w:b/>
        </w:rPr>
        <w:t>E. 4.4</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Stöckli, a.a.O., Rz. 11.148).</w:t>
      </w:r>
    </w:p>
    <w:p>
      <w:r>
        <w:rPr>
          <w:b/>
        </w:rPr>
        <w:t>E. 6.2</w:t>
      </w:r>
    </w:p>
    <w:p>
      <w:r>
        <w:t>Im Zusammenhang mit dem Vollzug der Wegweisung ist vorab auf den Einwand einzugehen, wonach das BFM in unzulässiger Weise von der Praxis des Bundesverwaltungsgerichts (BVGE 2008/2) abgewichen sei und im Sinne des Grundsatzurteils vom 20. Dezember 2010 (E-5929/2006) sein Ermessen überschritten beziehungsweise missbraucht und damit eine Rechtsverletzung in Kauf genommen habe. Hierzu ist festzuhalten, dass das BFM in der angefochtenen Verfügung nachvollziehbar und im Einzelnen hinreichend differenziert aufgezeigt hat,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eine Rechtsverletzung in Kauf genommen haben soll, ist in Anbetracht der insgesamt ausgewogenen und differenzierten Erwägungen in der angefochtenen Verfügung nicht ersichtlich. Nach dem Gesagten besteht somit keine Veranlassung, die angefochtene Verfügung im Vollzugspunkt (Ziff. 4 und 5 des Dispositivs) aus formellen Gründen aufzuheben.</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6.4.1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6.4.2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(vgl. BVGE 2011/24 E. 10.4.2 S. 503 f.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w:t>
      </w:r>
    </w:p>
    <w:p>
      <w:r>
        <w:rPr>
          <w:b/>
        </w:rPr>
        <w:t>E. 6.4.3</w:t>
      </w:r>
    </w:p>
    <w:p>
      <w:r>
        <w:t>Hinsichtlich derartiger Risikofaktoren kann bezüglich der Situation des Beschwerdeführers auf die vorangegangenen Erwägungen verwiesen werden, wo festgestellt wurde, dass er im Hinblick auf die Erfüllung der Flüchtlingseigenschaft keiner Risikogruppe im Sinne der Rechtsprechung zugerechnet werden kann. Da er nicht glaubhaft machte,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Im Urteil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w:t>
      </w:r>
    </w:p>
    <w:p>
      <w:r>
        <w:rPr>
          <w:b/>
        </w:rPr>
        <w:t>E. 6.5.3</w:t>
      </w:r>
    </w:p>
    <w:p>
      <w:r>
        <w:t>Wie unter E. 6.2 erwähnt kann der Beschwerdeführer aufgrund der Abweichung des BFM von der damals herrschenden Rechtsprechung zu Sri Lanka (BVGE 2008/2) nichts zu seinen Gunsten ableiten. Den Akten zufolge lebte der Beschwerdeführer von seiner Geburt bis im April 2007 stets in M., Jaffna Distrikt, Nordprovinz. Ausser den erwähnten und als unglaubhaft erachteten Verfolgungsvorbringen verneinte er ausdrücklich irgendwelche Probleme mit den heimatlichen Behörden, Parteien, Organisationen oder Gruppierungen. Der Beschwerdeführer ist jung, - soweit aktenkundig - gesund und verfügt über eine solide Schulbildung (u.a. OL-Abschluss). Ab April 2007 ging er bei seinem Cousin in V. (Nordprovinz) bis kurz vor seiner Ausreise während mehr als einem Jahr einer Erwerbstätigkeit als (Betriebsangestellter) nach. Im Fall einer Rückkehr ins Heimatland kann er ausserdem auf ein familiäres Beziehungsnetz zurückgreifen. Ferner leben in der Schweiz drei Onkel väterlicherseits. Es ist demnach davon auszugehen, dass ihm der Aufbau einer wirtschaftlichen Existenz - allenfalls auch mit Hilfe der Familie und der in der Schweiz lebenden Verwandtschaft - möglich sein wird. Auch wenn er seit Ende Juli 2008 und somit über vier Jahre lang landesabwesend war, bestehen keine konkreten Anhaltspunkte dafür, dass er bei einer Rückkehr nach Sri Lanka in eine existenzielle Notlage geraten würde. Diese Einschätzung von begünstigenden Faktoren für einen Vollzug der Wegweisung wird nicht zuletzt dadurch erhärtet, als in der Beschwerde lediglich ein tragfähiges Beziehungsnetz in Bezug auf Colombo in Abrede gestellt wird, wovon in der angefochtenen Verfügung jedoch mit keinem Wort die Rede ist. Die vorinstanzlichen Ausführungen hinsichtlich der für einen Vollzug der Wegweisung an den Herkunftsort des Beschwerdeführers sprechenden Aspekt bleiben indes unerwidert respektive unbestritten. Der Vollzug der Wegweisung erweist sich demnach nicht als unzumutbar im Sinne von Art. 83 Abs. 4 AuG.</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22. Juli 2011 wurde das Gesuch um Gewährung der unentgeltlichen Rechtspflege (Art. 65 Abs. 1 VwVG) auf einen späteren Zeitpunkt verwiesen und das Nachreichen des ausgefüllten Formulars "Gesuch unentgeltlichen Rechtspflege" verlangt (vgl. Bst. D hiervor). Da der Beschwerdeführer gemäss den vorliegenden Akten aktuell nicht erwerbstätig ist, kann davon ausgegangen werden, dass er prozessual bedürftig ist.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