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D-3396/2019 vom 27. November 2019</w:t>
      </w:r>
    </w:p>
    <w:p>
      <w:r>
        <w:t>Bundesverwaltungsgericht, 2019-11-27, DE</w:t>
      </w:r>
    </w:p>
    <w:p>
      <w:r>
        <w:rPr>
          <w:b/>
        </w:rPr>
        <w:t xml:space="preserve">Quelle: </w:t>
      </w:r>
      <w:r>
        <w:t>https://mcp.opencaselaw.ch/entscheid/bvger_D-3396_2019</w:t>
      </w:r>
    </w:p>
    <w:p>
      <w:r>
        <w:t>FR: TAF D-3396/2019 du 27 novembre 2019</w:t>
      </w:r>
    </w:p>
    <w:p>
      <w:r>
        <w:t>IT: TAF D-3396/2019 del 27 novembre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Vorliegend handelt es sich um eine solche, weshalb der Beschwerdeentscheid nur summarisch zu begründen ist (Art. 111a Abs. 2 AsylG).</w:t>
      </w:r>
    </w:p>
    <w:p>
      <w:r>
        <w:rPr>
          <w:b/>
        </w:rPr>
        <w:t>E. 3.2</w:t>
      </w:r>
    </w:p>
    <w:p>
      <w:r>
        <w:t>Gestützt auf Art. 111a Abs. 1 AsylG wurde auf die Durchführung eines Schriftenwechsels verzichtet.</w:t>
      </w:r>
    </w:p>
    <w:p>
      <w:r>
        <w:rPr>
          <w:b/>
        </w:rPr>
        <w:t>E. 4.1</w:t>
      </w:r>
    </w:p>
    <w:p>
      <w:r>
        <w:t>In der Beschwerde wird gerügt, dass das SEM den Beschwerdeführer zu Unrecht als volljährig erachtet habe. Entgegen der Auffassung der Rechtsvertreterin ist das SEM allerdings zu Recht von der fehlenden Glaubhaftmachung der Minderjährigkeit ausgegangen, weshalb es keine weiteren Abklärungen treffen musste und auch zu Recht auf die Beiordnung einer Vertrauensperson gemäss Art. 17 Abs. 3 AsylG verzichtet hat.</w:t>
      </w:r>
    </w:p>
    <w:p>
      <w:r>
        <w:rPr>
          <w:b/>
        </w:rPr>
        <w:t>E. 4.2</w:t>
      </w:r>
    </w:p>
    <w:p>
      <w:r>
        <w:t>Asylsuchende sind verpflichtet, an der Feststellung des Sachverhalts mitzuwirken; insbesondere müssen sie ihre Identität offenlegen und Reisepapiere sowie Identitätsausweise abgeben (Art. 8 Abs. 1 Bst. a und b AsylG). Die asylsuchende Person trägt grundsätzlich die Beweislast für die von ihr behauptete Minderjährigkeit (vgl. Entscheidungen und Mitteilungen der Schweizerischen Asylrekurskommission [EMARK] 2004 Nr. 30 E. 5.2). Im Rahmen einer Gesamtwürdigung ist eine Abwägung aller Anhaltspunkte, die für oder gegen die Richtigkeit der betreffenden Altersangabe sprechen, vorzunehmen (vgl. BVGE 2009/54 E. 4.1).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der Asylverordnung 1 vom 11. August 1999 [AsylV1, SR 142.311]). Die asylsuchende Person hat bei der entsprechenden Sachverhaltsfeststellung mitzuwirken.</w:t>
      </w:r>
    </w:p>
    <w:p>
      <w:r>
        <w:rPr>
          <w:b/>
        </w:rPr>
        <w:t>E. 4.3</w:t>
      </w:r>
    </w:p>
    <w:p>
      <w:r>
        <w:t>Der Beschwerdeführer gab auf dem «Personalienblatt Empfangszentrum» am 23. Mai 2016 als Geburtsdatum den (...) an (vgl. act. A1), wobei er auch in der BzP an diesem Geburtsdatum festhielt (vgl. act. A10, S. 3). Wegen Zweifeln an der Minderjährigkeit des Beschwerdeführers gab das SEM am 27. Mai 2016 eine Knochenaltersanalyse in Auftrag (vgl. act. A5). Die radiologische Untersuchung ergab gemäss Befund vom 1. Juni 2016 ein Knochenalter von «19 Jahre oder älter» (vgl. act. A6). Eine Standardabweichung zwischen dem Knochenalter und dem tatsächlichen Alter von zweieinhalb bis drei Jahren gilt noch als innerhalb des Normalbereichs liegend. In denjenigen Fällen, in denen das vom Betreffenden behauptete Alter im Vergleich zum festgestellten Knochenalter innerhalb dieser Standardabweichung liegt, lässt eine Knochenaltersanalyse nicht den Rückschluss zu, die Angaben beruhten auf Täuschung (vgl. EMARK 2000 Nr. 19; 2001 Nr. 23; 2004 Nr. 30). Angesichts der vorliegenden Altersabweichung von drei Jahren stellt die durchgeführte Handknochenanalyse mithin hier kein aussagekräftiges Indiz für die Volljährigkeit des Beschwerdeführers dar. Ohnehin kommt nicht der Handknochenanalyse sondern den eigenen Angaben der ihre Minderjährigkeit behauptenden Person zum Alter und zur allfällig unterbliebenen Abgabe von Identitätspapieren in aller Regel entscheidende Bedeutung zu.</w:t>
      </w:r>
    </w:p>
    <w:p>
      <w:r>
        <w:rPr>
          <w:b/>
        </w:rPr>
        <w:t>E. 4.4</w:t>
      </w:r>
    </w:p>
    <w:p>
      <w:r>
        <w:t>Vorliegend hat der Beschwerdeführer lediglich eine Kopie sowie eine «beglaubigte Kopie» seines Geburtsregisterauszuges eingereicht und widersprüchliche Angaben zum Geburtsregisterauszug gemacht. So hat er ausgesagt, dass er die in der BzP eingereichte Kopie eines Geburtsregisterauszuges, in der BzP als Geburtsurkunde bezeichnet, angeblich von N., der die Kopie beantragt habe, am 23. Mai 2016 erhalten habe (vgl. act. A10, S. 7). Er habe die eingereichte Kopie aber seiner Aussage nach vorher bereits gesehen, bevor er sie erhalten und beim SEM abgegeben habe (vgl. act. A10, S.7). Allerdings kann der Beschwerdeführer diese Kopie kaum vor seiner Ausreise gesehen haben, da die Kopie gemäss Datum im entsprechenden Stempel des Dokumentes erst am 16. Mai 2016 ausgestellt worden ist (vgl. act. A29), die Ausreise des Beschwerdeführers jedoch bereits am 16. September 2015 erfolgt sein soll (vgl. act. A10, S. 8). Diesen Widerspruch konnte der Beschwerdeführer auf Nachfrage auch nicht erklären, da er nur entgegnete, er habe in der Schule bereits eine Geburtsurkunde gesehen (vgl. act. A10, S. 8). Die Behauptung der Rechtsvertreterin (vgl. S. 12 der Beschwerde), es habe sich diesbezüglich um ein Missverständnis gehandelt, da der Beschwerdeführer in der Befragung ausgesagt habe, er habe seine (nicht eine) Geburtsurkunde in der Schule gesehen und damit seine richtige Geburtsurkunde gemeint, nicht aber den später beim SEM eingereichten Geburtsregisterauszug, erscheint nicht überzeugend, hat der Beschwerdeführer den Geburtsregisterauszug in der BzP doch durchgehend als Geburtsschein beziehungsweise Geburtsurkunde bezeichnet. Zudem ist nicht nachvollziehbar, dass der Beschwerdeführer später, am 24. Januar 2017, statt des Originals lediglich eine «beglaubigte Kopie» des Geburtsregisterauszuges, die ebenfalls N. beantragt und geschickt habe (vgl. act. A28, S. 2), einreichte, wenn sich nach seinen Aussagen das Original des Geburtsregisterauszuges doch noch bei N. befinde (vgl. act. A10, S. 7). Im Übrigen weist auch dieses als «beglaubigte Kopie» bezeichnete Schreiben den Datumsstempel 16. Mai 2016 auf, zusätzlich zu mehreren Stempeln von November 2016. Wie das SEM zu Recht feststellte, bestehen Zweifel an der Echtheit des Dokumentes. Hinzuzufügen bleibt, dass es auch an einem Zustellumschlag des angeblich von N. per Post geschickten (vgl. act. A28, S. 2, 14; S. 12 der Beschwerde) beglaubigten Dokumentes fehlt, was die Zweifel an der Echtheit verstärkt. Im Übrigen ist auch anzumerken, dass die eingereichten Auszüge aus dem Geburtsregister kaum Beweiswert für das Geburtsdatum des Beschwerdeführers aufweisen, weil seine Identität mangels Vorlage eines Reise- oder Identitätspapieres nicht feststeht und mithin völlig offenbleiben muss, ob es sich beim Beschwerdeführer überhaupt um die auf dem Geburtsregisterauszug aufgeführte Person handelt. Abgesehen von den fragwürdigen Kopien des Geburtsregisterauszuges sind schliesslich auch die Angaben zur Schulbildung im Zusammenhang mit den Altersangaben widersprüchlich (vgl. act. A10, S. 4).</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SEM erachtete die Verfolgungsvorbringen zu Recht - selbst bei Berücksichtigung des beschränkten Beweiswertes der BzP (vgl. EMARK 1993 Nr. 3) - als unglaubhaft, da sie insbesondere im Zusammenhang mit der Tätigkeit des Vaters und der daraus resultierenden Verfolgung konstruiert wirken, wobei hierbei vollumfänglich auf die Ausführungen in der vor-instanzlichen Verfügung verwiesen werden kann. Insgesamt mangelt es dem Beschwerdeführer an Wissen über die politischen Tätigkeiten des Vaters und dessen Verfolgung und an Wissen die eigenen Verfolgungsvorbringen betreffend, wobei die Argumentation in der Beschwerde keine überzeugende Erklärung bieten kann.</w:t>
      </w:r>
    </w:p>
    <w:p>
      <w:r>
        <w:rPr>
          <w:b/>
        </w:rPr>
        <w:t>E. 5.3.1</w:t>
      </w:r>
    </w:p>
    <w:p>
      <w:r>
        <w:t>Das SEM weist zu Recht darauf hin, dass bereits die Aussagen zur Vorgeschichte des Vaters und dessen vermeintlichem politischen Engagement als widersprüchlich und unsubstantiiert zu qualifizieren sind, zumal sich die Aussagen zu den Tätigkeiten des Vaters für die LTTE im Verlaufe der Anhörung im Sinne einer Ausweitung der vermeintlichen Unterstützungsleistungen verändert haben (vgl. act. A28, S. 9). So gab der Beschwerdeführer zu Beginn an, er habe von N. gehört, dass sein Vater Ki-sten für die Bewegung angefertigt habe und für die Bewegung gefahren sei (vgl. act. A28, S. 3). Später fügt er hinzu, sein Vater habe für die TNA gearbeitet und die LTTE unterstützt (vgl. act. A28, S. 9). Unklar bleibt auch, ob er von der Tätigkeit des Vaters in den Befragungen durch die Armee oder nachträglich durch N. erfahren habe (vgl. act. A28, S. 9). Überhaupt ist es verwunderlich, dass der Beschwerdeführer nichts von den Tätigkeiten des Vaters mitbekommen haben will (vgl. act. A28, S. 3). In der Beschwerde wird der «sri-lankische Kontext», dass Kinder nicht in die Belange der Erwachsenen miteinbezogen werden sollen, als Argument für das fehlende Wissen des Beschwerdeführers angeführt (vgl. S. 10 der Beschwerde), was wenig überzeugt und auch nicht erklärt, warum der Beschwerdeführer die Tätigkeiten des Vaters für die LTTE im Laufe der Anhörung ausdehnte. Auch die Argumentation des schlechten Verhältnisses zwischen Vater und dem isolierten Sohn (vgl. S. 10 der Beschwerde) erklärt das erhebliche Nichtwissen des Beschwerdeführers über die politischen Tätigkeiten des Vaters nicht. Zudem mutet es realitätsfern an, dass der Beschwerdeführer laut Angaben in der Beschwerde bis heute nicht weiss, ob sein Vater einer Arbeit nachgegangen sei (vgl. S. 5 der Beschwerde). Die Angaben des Beschwerdeführers zum Freund des Vaters erscheinen entgegen der Darstellung auf Beschwerdeebene lebensfremd. Trotz des jahrelangen Zusammenlebens mit N. weiss der Beschwerdeführer kaum etwas über diesen zu berichten. So weiss er nicht, welcher Arbeit N. nachgegangen sei, und kennt erstaunlicherweise auch dessen Nachnamen nicht (vgl. act. A28, S. 3, 4). Die Argumentation in der Beschwerde, es liege am sri-lankischen Kontext, wonach Nachnamen ohne Bedeutung seien, stellt keine überzeugende Erklärung dar (vgl. S. 11 der Beschwerde). In Bezug auf den Aufenthaltsort des Vaters in den Jahren 2009 bis 2012 äussert sich der Beschwerdeführer widersprüchlich, da er in der BzP aussagte, der Vater sei in der Zeit in einem Rehabilitationsprogramm gewesen, während er in der Anhörung angab, er wisse nicht, wo sich der Vater aufgehalten habe, vermutlich im Gefängnis (vgl. act. A10, S. 8; act. A28, S. 6). Auf den Widerspruch angesprochen, bestritt er, in der BzP von einer «Rehabilitation» gesprochen zu haben (vgl. act. A28, S. 7), wobei er allerdings im Rahmen der BzP unterschriftlich bestätigt hatte, dass Protokoll entspreche seinen Aussagen (vgl. act. A10 S. 10). Widersprüchlich und unklar ist auch, ob der Beschwerdeführer selber nach dem Verschwinden des Vaters im Jahr 2014 gesucht worden ist oder nicht. In der BzP gab der Beschwerdeführer zu Protokoll, er sei nach dem Verschwinden des Vaters zu Hause gesucht worden (vgl. act. A10, S. 8). In der Anhörung sagte er hingegen lediglich aus, er sei bei N. gewesen, der ihn gewarnt habe, nicht das Haus zu verlassen und ihn schliesslich ins Ausland geschickt habe (vgl. act. A28, S. 8). Auf Nachfrage erklärt er, nach der Freilassung im Jahr 2014 keinen Behördenkontakt gehabt zu haben (vgl. act. A28, S. 12). Auf den Widerspruch angesprochen, fügte er wenig überzeugend an, N. habe ihm gesagt, er sei derjenige, den sie suchen, er wisse aber nicht, wo und wie man ihn gesucht habe (vgl. act. A28, S. 12). Schliesslich enthalten auch die zeitlichen Angaben zum Schulabbruch einige Widersprüche (vgl. act. A10, S. 4). Unlogisch mutet an, dass er plötzlich die Schule abgebrochen habe, weil N. ihm gesagt habe, er sei in Gefahr, er dürfe das Haus nicht verlassen, um aber gleichzeitig trotz der angeblichen Gefahr mit ihm Spaziergänge zu unternehmen (vgl. act. A28, S. 11). Dem SEM ist zuzustimmen, dass es als unrealistisch beurteilt werden muss, der Beschwerdeführer wisse nichts über seine Ausreise zu berichten, ebenso wenig dazu, warum er trotz der vermeintlichen Gefährdungslage noch ein Jahr bis zur Ausreise bei N. geblieben sei (vgl. act. A28, S. 11, 12).</w:t>
      </w:r>
    </w:p>
    <w:p>
      <w:r>
        <w:rPr>
          <w:b/>
        </w:rPr>
        <w:t>E. 5.3.2</w:t>
      </w:r>
    </w:p>
    <w:p>
      <w:r>
        <w:t>Auch nach der Prüfung der im Referenzurteil des Bundesverwaltungsgerichts E-1866/2015 vom 15. Juli 2016 festgelegten Risikofaktoren zur Beurteilung, ob für Angehörige der tamilischen Ethnie bei einer Rückkehr nach Sri Lanka das Risiko bestehe, Opfer ernsthafter Nachteile in Form von Verhaftung und Folter zu werden, besteht vorliegend keine begründete Annahme, dem Beschwerdeführer drohten im Falle einer Rückkehr nach Sri Lanka ernsthafte Nachteile im Sinne von Art. 3 AsylG, da die Verfolgungsvorbringen gemäss den obigen Erwägungen als unglaubhaft zu erachten sind und der Beschwerdeführer nicht exilpolitisch aktiv ist.</w:t>
      </w:r>
    </w:p>
    <w:p>
      <w:r>
        <w:rPr>
          <w:b/>
        </w:rPr>
        <w:t>E. 6</w:t>
      </w:r>
    </w:p>
    <w:p>
      <w:r>
        <w:t>Zusammenfassend kann festgehalten werden, dass das SEM zu Recht das Vorliegen der Flüchtlingseigenschaft verneint und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Der bewaffnete Konflikt zwischen der sri-lankischen Regierung und den LTTE ist im Mai 2009 zu Ende gegangen. Aktuell herrscht in Sri Lanka weder Krieg noch eine Situation allgemeiner Gewalt. Diese Einschätzung gilt auch unter Berücksichtigung der aktuellen politischen Situation rund um die Absetzung des Parlaments durch Präsident Sirisena im Herbst 2018, des Entscheids des Supreme Court in Sri Lanka, welcher die Suspendierung des Parlaments wieder aufhob, und der im November 2019 durchgeführten Neuwahlen. Die am 22. April 2019 verübten Anschläge in Colombo, Batticaola und Negombo, zu welchen sich der sogenannte Islamische Staat bekannte und die gleichentags zur vorübergehenden Ausrufung des Ausnahmezustands durch die sri-lankische Regierung führten, vermögen an der Einschätzung, wonach nicht von einer in Sri Lanka herrschenden Situation allgemeiner Gewalt auszugehen ist, ebenfalls nichts zu ändern.</w:t>
      </w:r>
    </w:p>
    <w:p>
      <w:r>
        <w:rPr>
          <w:b/>
        </w:rPr>
        <w:t>E. 8.4.2</w:t>
      </w:r>
    </w:p>
    <w:p>
      <w:r>
        <w:t>Das Bundesverwaltungsgericht hat zuletzt im Referenzurteil E-1866/2015 vom 15. Juli 2016 zur Frage der Zumutbarkeit des Wegweisungsvollzugs abgewiesener Asylsuchender aus Sri Lanka insbesondere tamilischer Ethnie eine Lageanalyse vorgenommen (a.a.O. E. 13.2-13.4). Hinsichtlich der Nordprovinz, aus welcher der Beschwerdeführer stammt, wurde dabei zusammenfassend festgestellt, dass der Wegweisungsvollzug dorthin zumutbar ist, sofern das Vorliegen der individuellen Zumutbarkeitskriterien - insbesondere die Existenz eines tragfähigen familiären oder anderweitigen sozialen Beziehungsnetzes sowie Aussichten auf eine gesicherte Einkommens- und Wohnsituation - bejaht werden kann (a.a.O. E. 13.3). In seinem ebenfalls als Referenzurteil publizierten Entscheid D-3619/2016 vom 16. Oktober 2017qualifizierte das Bundesverwaltungsgericht auch den Vollzug von Wegweisungen ins "Vanni-Gebiet" als grundsätzlich zumutbar (vgl. dort E. 9.5).</w:t>
      </w:r>
    </w:p>
    <w:p>
      <w:r>
        <w:rPr>
          <w:b/>
        </w:rPr>
        <w:t>E. 8.4.3</w:t>
      </w:r>
    </w:p>
    <w:p>
      <w:r>
        <w:t>Das SEM hat den Wegweisungsvollzug vorliegend zutreffend als zumutbar erachtet, da das Verschwinden des Vaters (als Teil der Verfolgungsvorbringen) nicht geglaubt werden kann, mithin davon auszugehen ist, dieser befinde sich im Heimatland. Auch der laut Angaben in der Beschwerde nicht mehr bestehende Kontakt zu N., der ihm noch im Verfahren die («beglaubigte») Kopie des Geburtsregisterauszuges geschickt habe und mit dem er laut Angaben in der Anhörung vom 26. Juni 2018 noch in telefonischem Kontakt stand (vgl. act. A28, S. 14), kann nicht geglaubt werden. Zudem überzeugt nicht, dass er über keinerlei Verwandte im Heimatland verfüge (vgl. act. A28. S. 7). Für die Behauptung in der Beschwerde, der Beschwerdeführer lasse seine Familie im Heimatland suchen (vgl. S. 7 der Beschwerde), fehlt jeglicher Nachweis. Da angesichts der Unglaubhaftigkeit der diesbezüglichen Aussagen vom Vorhandensein eines familiären und sozialen Beziehungsnetzes auszugehen ist und der Beschwerdeführer jung und gesund ist (vgl. act. A10. S. 10), abgesehen von den in der Beschwerde erstmals vorgebrachten (...)problemen (Beschwerde, S. 8), und zwar keine Arbeitserfahrung, aber eine etwa zehnjährige Schulbildung aufzuweisen hat (vgl. act. A10, S. 4, 10), ist davon auszugehen, dass er bei einer Rückkehr in seine Herkunftsregion nicht in eine seine Existenz bedrohende Situation geraten wird.</w:t>
      </w:r>
    </w:p>
    <w:p>
      <w:r>
        <w:rPr>
          <w:b/>
        </w:rPr>
        <w:t>E. 8.4.4</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 August 2019 in gleicher Höhe geleistete Kostenvorschuss wird zur Begleichung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