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D-3393/2020 vom 7. März 2025</w:t>
      </w:r>
    </w:p>
    <w:p>
      <w:r>
        <w:t>Bundesverwaltungsgericht, 2025-03-07, DE</w:t>
      </w:r>
    </w:p>
    <w:p>
      <w:r>
        <w:rPr>
          <w:b/>
        </w:rPr>
        <w:t xml:space="preserve">Quelle: </w:t>
      </w:r>
      <w:r>
        <w:t>https://mcp.opencaselaw.ch/entscheid/bvger_D-3393_2020</w:t>
      </w:r>
    </w:p>
    <w:p>
      <w:r>
        <w:t>FR: TAF D-3393/2020 du 7 mars 2025</w:t>
      </w:r>
    </w:p>
    <w:p>
      <w:r>
        <w:t>IT: TAF D-3393/2020 del 7 marzo 2025</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 gende Verfahren gilt das bisherige Recht (vgl. Abs. 1 der Übergangsbe- stimmungen zur Änderung des AsylG vom 25. September 2015).</w:t>
      </w:r>
    </w:p>
    <w:p>
      <w:r>
        <w:rPr>
          <w:b/>
        </w:rPr>
        <w:t>E. 1.2</w:t>
      </w:r>
    </w:p>
    <w:p>
      <w:r>
        <w:t>Am 1. Januar 2019 wurde das Ausländergesetz vom 16. Dezember 2005 (AuG, SR 142.20) teilrevidiert (AS 2018 3171) und in Ausländer- und</w:t>
      </w:r>
    </w:p>
    <w:p>
      <w:r>
        <w:t>D-3393/2020 Seite 5 Integrationsgesetz (AIG) umbenannt. Die vorliegend anzuwendenden Ge- setzesartikel (Art. 83 Abs. 1–7 und Art. 84) sind unverändert vom AuG ins AIG übernommen worden, weshalb das Gericht nachfolgend die neue Ge- setzesbezeichnung verwendet.</w:t>
      </w:r>
    </w:p>
    <w:p>
      <w:r>
        <w:rPr>
          <w:b/>
        </w:rPr>
        <w:t>E. 2.1</w:t>
      </w:r>
    </w:p>
    <w:p>
      <w:r>
        <w:t>Gemäss Art. 31 VGG beurteilt das Bundesverwaltungsgericht Be- schwerden gegen Verfügungen nach Art. 5 VwVG und entscheidet auf dem Gebiet des Asyls in der Regel – wie auch vorliegend – endgültig (Art. 83 Bst. d Ziff. 1 BGG; Art. 105 AsylG). Die Beschwerdeführerin ist als Verfü- gungsadressatin zur Beschwerdeführung legitimiert (Art. 48 VwVG). Auf die frist- und formgerecht eingereichte Beschwerde ist einzutreten (aArt. 108 Abs. 1 AsylG und Art. 52 Abs. 1 VwVG).</w:t>
      </w:r>
    </w:p>
    <w:p>
      <w:r>
        <w:rPr>
          <w:b/>
        </w:rPr>
        <w:t>E. 2.2</w:t>
      </w:r>
    </w:p>
    <w:p>
      <w:r>
        <w:t>Die Akten des Asylverfahrens des Ehemannes und des gemeinsamen Kindes wurden beigezogen.</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(Art. 7 AsylG).</w:t>
      </w:r>
    </w:p>
    <w:p>
      <w:r>
        <w:rPr>
          <w:b/>
        </w:rPr>
        <w:t>E. 5.1</w:t>
      </w:r>
    </w:p>
    <w:p>
      <w:r>
        <w:t>Das SEM begründete die angefochtene Verfügung damit, dass die Vor- bringen der Beschwerdeführerin insgesamt den Anforderungen an die Flüchtlingseigenschaft nicht genügten. Die von ihr geltend gemachten Übergriffe gingen von privaten Dritten aus und hätten ihr aufgrund ihrer Art</w:t>
      </w:r>
    </w:p>
    <w:p>
      <w:r>
        <w:t>D-3393/2020 Seite 6 und Intensität auch nicht ein menschenwürdiges Leben in der Türkei ver- unmöglicht oder in unzumutbarer Weise erschwert, zumal sie sich bislang nicht um staatlichen Schutz bemüht habe. Weiter sei der Vollzug der Weg- weisung sodann auch zulässig, zumutbar und möglich, zumal die Be- schwerdeführerin mit ihrem Ehemann und dem gemeinsamen Kind in den Heimatstaat zurückkehren werde.</w:t>
      </w:r>
    </w:p>
    <w:p>
      <w:r>
        <w:rPr>
          <w:b/>
        </w:rPr>
        <w:t>E. 5.2</w:t>
      </w:r>
    </w:p>
    <w:p>
      <w:r>
        <w:t>Demgegenüber wandte die Beschwerdeführerin in ihrer Rechtsmitte- leingabe im Wesentlichen ein, die Vorinstanz verkenne, dass sie in der Tür- kei einem unerträglichen psychischen Druck ausgesetzt gewesen sei. Im Weiteren bestehe die Gefahr, dass ihr Ehemann, der bereits in Syrien ge- sucht worden sei, auch in der Türkei der Unterstützung der kurdischen Sa- che bezichtigt und verfolgt werde. Aus diesem Grund fürchte die Be- schwerdeführerin eine Reflexverfolgung in der Türkei aufgrund ihrer Ehe. Ausser Acht lasse die Vorinstanz darüber hinaus, dass der Ehemann der Beschwerdeführerin in der Türkei nicht über einen geregelten Aufenthalt verfüge und keinen solchen erlangen könne, was zwangsläufig die Tren- nung der Familie zur Folge habe.</w:t>
      </w:r>
    </w:p>
    <w:p>
      <w:r>
        <w:rPr>
          <w:b/>
        </w:rPr>
        <w:t>E. 5.3</w:t>
      </w:r>
    </w:p>
    <w:p>
      <w:r>
        <w:t>In ihren Vernehmlassungen hielt die Vorinstanz grundsätzlich an ihren Erwägungen fest und führte aus, das SEM sei seit dem Urteil des Bundes- verwaltungsgerichts vom 9. November 2021 im Verfahren des Ehemannes und des Kindes der Beschwerdeführerin nicht untätig geblieben und habe Abklärungen zu einer allfälligen Einreise ihres syrischen Ehemannes in die Türkei Ende August 2023 in die Wege geleitet. Die Abklärungen kämen jedoch nicht voran, da das türkische Konsulat eine Kopie der Identitätskarte der Beschwerdeführerin verlange, das SEM diese aufgrund des noch hän- gigen Beschwerdeverfahrens jedoch nicht zur Verfügung stellen könne. Sofern die vorliegende Beschwerde abgewiesen würde, könne das SEM seine Abklärungen den Ehemann und die Kinder betreffend fortsetzen.</w:t>
      </w:r>
    </w:p>
    <w:p>
      <w:r>
        <w:rPr>
          <w:b/>
        </w:rPr>
        <w:t>E. 5.4</w:t>
      </w:r>
    </w:p>
    <w:p>
      <w:r>
        <w:t>Die Beschwerdeführerin entgegnet dem, sofern die Frage des Aufent- halts ihres Ehemannes und ihrer Kinder in der Türkei nicht durch das SEM geklärt werden könne, müsse davon ausgegangen werden, dass die Fami- lie nicht in der Türkei zusammenleben könne.</w:t>
      </w:r>
    </w:p>
    <w:p>
      <w:r>
        <w:rPr>
          <w:b/>
        </w:rPr>
        <w:t>E. 6.1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w:t>
      </w:r>
    </w:p>
    <w:p>
      <w:r>
        <w:t>D-3393/2020 Seite 7 notwendigen Unterlagen zu beschaffen, die rechtlich relevanten Umstände abzuklären und ordnungsgemäss darüber Beweis zu führen. Die unrichtige oder unvollständige Feststellung des rechtserheblichen Sachverhalts bildet einen Beschwerdegrund (Art. 106 Abs. 1 Bst. b AsylG). Unrichtig ist die Sachverhaltsfeststellung, wenn der Verfügung ein falscher oder aktenwid- riger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 m.w.H.).</w:t>
      </w:r>
    </w:p>
    <w:p>
      <w:r>
        <w:rPr>
          <w:b/>
        </w:rPr>
        <w:t>E. 6.2</w:t>
      </w:r>
    </w:p>
    <w:p>
      <w:r>
        <w:t>Gemäss Art. 29 Abs. 2 BV in Verbindung mit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 liert die Pflicht der Behörden, die Vorbringen tatsächlich zu hören, ernsthaft zu prüfen und in ihrer Entscheidfindung angemessen zu berücksichtigen. Die Begründung muss so abgefasst sein, dass sie eine sachgerechte An- fechtung ermöglicht. Nicht erforderlich ist, dass sich die Begründung mit allen Parteistandpunkten einlässlich auseinandersetzt und jedes einzelne Vorbringen ausdrücklich widerlegt (vgl. BGE 143 III 65 E. 5.2).</w:t>
      </w:r>
    </w:p>
    <w:p>
      <w:r>
        <w:rPr>
          <w:b/>
        </w:rPr>
        <w:t>E. 7.1</w:t>
      </w:r>
    </w:p>
    <w:p>
      <w:r>
        <w:t>Wie nachfolgend aufgezeigt wird, hat die Vorinstanz den Sachverhalt nicht rechtsgenüglich abgeklärt, so dass das Bundesverwaltungsgericht nicht in der Lage ist, abschliessend über die vorliegende Sache zu ent- scheiden. Zudem hat sie es unterlassen, die Asylvorbringen der Beschwer- deführerin umfassend zu prüfen.</w:t>
      </w:r>
    </w:p>
    <w:p>
      <w:r>
        <w:rPr>
          <w:b/>
        </w:rPr>
        <w:t>E. 7.2</w:t>
      </w:r>
    </w:p>
    <w:p>
      <w:r>
        <w:t>Mit Urteil D-3027/2020 vom 9. November 2021 hob das Bundesverwal- tungsgericht die den Ehemann der Beschwerdeführerin sowie ihr erstes Kind betreffende Verfügung vom 3. Juni 2020 auf, da sich der rechtserheb- liche Sachverhalt als nicht ausreichend erstellt erwiesen hatte. Es stellte fest, die Vorinstanz habe die Einreisemöglichkeit des syrischen Eheman- nes und des gemeinsamen Kindes mit dem Zweck der Wohnsitznahme in der Türkei nicht ausreichend geprüft. Wie die Vorinstanz auf Beschwerde- ebene selbst eingesteht, ist das entsprechende Verfahren, welches unbe- strittenermassen mit dem vorliegenden konnex ist, weiterhin hängig. Den Ausführungen der Vorinstanz auf Beschwerdeebene ist sodann weiter zu entnehmen, dass nach wie vor nicht erstellt ist, ob ein Zusammenleben der</w:t>
      </w:r>
    </w:p>
    <w:p>
      <w:r>
        <w:t>D-3393/2020 Seite 8 Familie in der Türkei tatsächlich möglich ist. Das Säumnis im Verfahren des Ehemannes und der Kinder betrifft sodann auch die Beschwerdeführerin, insbesondere im Hinblick auf den Wegweisungsvollzug und eine allfällige Verletzung von Art. 8 EMRK. Darüber hinaus ist darauf hinzuweisen, dass die Beschwerdeführerin in der Beschwerde ausdrücklich eine Reflexverfol- gung geltend machte. Dieses Vorbringen wird ebenfalls unter Berücksich- tigung der Situation des Ehemannes und der aktuellen Verhältnisse in den beiden Herkunftsländern neu zu beurteilen sein.</w:t>
      </w:r>
    </w:p>
    <w:p>
      <w:r>
        <w:rPr>
          <w:b/>
        </w:rPr>
        <w:t>E. 8.1</w:t>
      </w:r>
    </w:p>
    <w:p>
      <w:r>
        <w:t>Gemäss Art. 61 Abs. 1 VwVG entscheidet das Bundesverwaltungs- gericht in der Sache selbst oder weist diese ausnahmsweise mit verbindli- chen Weisungen an die Vorinstanz zurück.</w:t>
      </w:r>
    </w:p>
    <w:p>
      <w:r>
        <w:rPr>
          <w:b/>
        </w:rPr>
        <w:t>E. 8.2</w:t>
      </w:r>
    </w:p>
    <w:p>
      <w:r>
        <w:t>Eine Kassation und Rückweisung an die Vorinstanz ist insbesondere angezeigt, wenn weitere Tatsachen festgestellt werden müssen und ein umfassendes Beweisverfahren durchzuführen ist. Die in diesen Fällen feh- lende Entscheidungsreife kann grundsätzlich zwar auch durch die Be- schwerdeinstanz selbst hergestellt werden, wenn dies im Einzelfall aus prozessökonomischen Gründen angebracht erscheint; sie muss dies aber nicht (vgl. BVGE 2012/21 E. 5.). Eine Verletzung des Anspruchs auf recht- liches Gehör führt - angesichts des formellen Charakters des Gehörsan- spruchs unabhängig davon, ob die angefochtene Verfügung bei korrekter Verfahrensführung im Ergebnis anders ausgefallen wäre - grundsätzlich ebenfalls zur Kassation und Rückweisung der Sache an die Vorinstanz. Die Heilung von Gehörsverletzungen aus prozessökonomischen Gründen ist auf Beschwerdeebene nur möglich, sofern das Versäumte nachgeholt wird, der Beschwerdeführer dazu Stellung nehmen kann und der Beschwer- deinstanz für die konkrete Streitfrage die freie Überprüfungsbefugnis in Be- zug auf Tatbestand und Rechtsanwendung zukommt sowie die festge- stellte Verletzung nicht schwerwiegender Natur ist und die fehlende Ent- scheidreife durch die Beschwerdeinstanz mit vertretbarem Aufwand herge- stellt werden kann (vgl. BVGE 2014/22 E. 5.3 m.w.H.).</w:t>
      </w:r>
    </w:p>
    <w:p>
      <w:r>
        <w:rPr>
          <w:b/>
        </w:rPr>
        <w:t>E. 8.3</w:t>
      </w:r>
    </w:p>
    <w:p>
      <w:r>
        <w:t>Vorliegend ist eine Kassation der angefochtenen Verfügung und Rück- weisung der Sache an die Vorinstanz angezeigt. Das Bundesverwaltungs- gericht kommt zum Schluss, dass das SEM den rechtserheblichen Sach- verhalt unvollständig festgestellt und den Anspruch auf rechtliches Gehör der Beschwerdeführerin in schwerwiegender Weise verletzt hat und die Heilung dieser Mängel im Beschwerdeverfahren nicht möglich ist, weshalb der Entscheid aufzuheben und die Sache zur Neubeurteilung im Sinne der</w:t>
      </w:r>
    </w:p>
    <w:p>
      <w:r>
        <w:t>D-3393/2020 Seite 9 Erwägungen an die Vorinstanz zurückzuweisen ist. Die Kassation drängt sich insbesondere auch deshalb auf, weil die Vorinstanz ihr Tätigwerden im konnexen Verfahren davon abhängig gemacht hat, dass das vorlie- gende Verfahren nicht rechtshängig ist. Das SEM ist anzuweisen den Sachverhalt durch weitere Abklärungen – insbesondere betreffend Einrei- semöglichkeit des syrischen Ehemannes und der gemeinsamen Kinder mit dem Zweck der Wohnsitznahme in der Türkei – vollständig festzustellen. Anschliessend ist die Sache – unter Würdigung aller entscheidwesentli- chen Sachverhaltselemente und koordiniert mit dem Verfahren des Ehe- mannes und der gemeinsamen Kinder – neu zu entscheiden. Angesichts des gebotenen Handelns von Amtes wegen ist unbeachtlich, dass auf Be- schwerdeebene keine formellen Rügen erhoben wurden und es erübrigt sich, auf die weiteren mit der Beschwerdeschrift geltend gemachten Rügen einzugehen.</w:t>
      </w:r>
    </w:p>
    <w:p>
      <w:r>
        <w:rPr>
          <w:b/>
        </w:rPr>
        <w:t>E. 9</w:t>
      </w:r>
    </w:p>
    <w:p>
      <w:r>
        <w:t>Nach dem Gesagten ist die Beschwerde gutzuheissen. Die Verfügung vom 3. Juni 2020 ist aufzuheben und die Sache zur vollständigen Feststellung des rechtserheblichen Sachverhalts und anschliessenden Neubeurteilung an die Vorinstanz zurückzuweisen.</w:t>
      </w:r>
    </w:p>
    <w:p>
      <w:r>
        <w:rPr>
          <w:b/>
        </w:rPr>
        <w:t>E. 10.1</w:t>
      </w:r>
    </w:p>
    <w:p>
      <w:r>
        <w:t>Bei diesem Ausgang des Verfahrens sind keine Kosten zu erheben (Art. 63 Abs. 1 und 2 VwVG).</w:t>
      </w:r>
    </w:p>
    <w:p>
      <w:r>
        <w:rPr>
          <w:b/>
        </w:rPr>
        <w:t>E. 10.2.1</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w:t>
      </w:r>
    </w:p>
    <w:p>
      <w:r>
        <w:rPr>
          <w:b/>
        </w:rPr>
        <w:t>E. 10.2.2</w:t>
      </w:r>
    </w:p>
    <w:p>
      <w:r>
        <w:t>Mit Eingabe vom 9. März 2021 wurde im Verfahren des Ehemannes und Kindes der Beschwerdeführerin (Geschäftsnummer D-3027/2020) eine Kostennote ins Recht gelegt, wonach sich die Bemühungen des Rechtsvertreters auf 7.65 Stunden bei einem Stundenansatz von Fr. 300.– belaufen. Zusätzlich werden Auslagen in der Höhe von Fr. 770.40 aufgeführt. Der vom Rechtsvertreter ausgewiesene Stundenansatz von Fr. 300.– bewegt sich im Rahmen von Art. 10 Abs. 2 VGKE. Aufgrund der Angabe («B._______ und A._______») sowie aufgrund des geltend gemachten zeitlichen Aufwands in der Kostennote ging das Gericht im</w:t>
      </w:r>
    </w:p>
    <w:p>
      <w:r>
        <w:t>D-3393/2020 Seite 10 Urteil D-3027/2020 vom 9. November 2021 davon aus, dass sich die Kostennote auf beide Verfahren bezog und entsprechend nur die Hälfte der geltend gemachten Kosten als Parteientschädigung auszurichten war. Folglich ist der Restbetrag im vorliegenden Verfahren zu sprechen und um die in der Kostennote vom 9. März 2021 nicht berücksichtigten Eingaben der Beschwerdeführerin vom 18. November 2024 respektive 26. Dezember 2024 zu erhöhen. Die Vorinstanz wird demnach angewiesen, der Beschwerdeführerin eine Parteientschädigung in der Höhe von Fr. 1'950.- (inklusive Auslagen und Mehrwertsteuerzuschlag) auszurichten. Die unentgeltliche Rechtsverbeiständung ist gegenstandslos geworden.</w:t>
      </w:r>
    </w:p>
    <w:p>
      <w:r>
        <w:t>(Dispositiv nächste Seite)</w:t>
      </w:r>
    </w:p>
    <w:p>
      <w:r>
        <w:t>D-3393/2020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