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D-3390/2013 vom 7. August 2013</w:t>
      </w:r>
    </w:p>
    <w:p>
      <w:r>
        <w:t>Bundesverwaltungsgericht, 2013-08-07, DE</w:t>
      </w:r>
    </w:p>
    <w:p>
      <w:r>
        <w:rPr>
          <w:b/>
        </w:rPr>
        <w:t xml:space="preserve">Quelle: </w:t>
      </w:r>
      <w:r>
        <w:t>https://mcp.opencaselaw.ch/entscheid/bvger_D-3390_2013</w:t>
      </w:r>
    </w:p>
    <w:p>
      <w:r>
        <w:t>FR: TAF D-3390/2013 du 7 août 2013</w:t>
      </w:r>
    </w:p>
    <w:p>
      <w:r>
        <w:t>IT: TAF D-3390/2013 del 7 agosto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nicht in einer Amtssprache des Bundes abgefasst. Auf die Ansetzung einer Frist zur Beschwerdeverbesserung kann indessen verzichtet werden, da der in Englisch verfassten Beschwerdeeingabe genügend klare, sinngemäss Rechtsbegehren und deren Begründung zu entnehmen sind und ohne Weiteres darüber befunden werden kann.</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1.5</w:t>
      </w:r>
    </w:p>
    <w:p>
      <w:r>
        <w:t>Gestützt auf Art. 33a Abs. 2 VwVG i.V.m. Art. 6 AsylG ergeht der vorliegende Entscheid in deutscher Sprache.</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 4.Mit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altAsylG) in der bisherigen Fassung anwendbar sind. Demnach sind auf den vorliegenden Fall die bisherigen Bestimmungen betreffend das Auslandverfahren anzuwenden.</w:t>
      </w:r>
    </w:p>
    <w:p>
      <w:r>
        <w:rPr>
          <w:b/>
        </w:rPr>
        <w:t>E. 5.1</w:t>
      </w:r>
    </w:p>
    <w:p>
      <w:r>
        <w:t>Das Bundesamt kann ein im Ausland gestelltes Asylgesuch ablehnen, wenn die asylsuchende Person keine Verfolgung glaubhaft machen kann oder ihr die Aufnahme in einem Drittstaat zugemutet werden kann (Art. 3 und Art. 7 AsylG sowie Art. 52 Abs. 2 altAsylG). Gemäss Art. 20 Abs. 2 AsylG bewilligt das Bundesamt einer asylsuchenden Person die Einreise zur Abklärung des Sachverhaltes, wenn ihr nicht zugemutet werden kann, im Wohnsitz- oder Aufenthaltsstaat zu bleiben oder in ein anderes Land auszureisen. Gestützt auf Art. 20 Abs. 3 altAsylG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Ein Asylgesuch kann gemäss Art. 19 altAsylG im Ausland bei einer schweizerischen Vertretung gestellt werden, die es mit einem Bericht an das Bundesamt überweist (Art. 20 Abs. 1 altAsylG).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5.2.1</w:t>
      </w:r>
    </w:p>
    <w:p>
      <w:r>
        <w:t>Die Beschwerdeführerin wurde nicht zu ihrem Asylgesuch befragt. Sie hat ihre Vorbringen im Asylgesuch vom 25. Dezember 2010 schriftlich dargelegt (vgl. Sachverhalt Bst. A). In der Eingabe vom 7. März 2011, in der die Beschwerdeführerin das Interesse an der Fortführung des Verfahrens kundtat, wiederholte sie nochmals ihre Vorbringen (vgl. Sachverhalt Bst. B). In der Folge wurde ihr mit Zwischenverfügung des BFM vom 20. Juni 2011 ein Katalog von für die vollständige Erstellung des rechtserheblichen Sachverhalts noch zu beantwortenden offenen Fragen zugestellt, wozu sie am 13. Juli 2011 schriftlich Stellung genommen hat (vgl. Sachverhalt Bst. C). Der entscheidwesentliche Sachverhalt (vgl. Sachverhalt Bst. D) erscheint angesichts der diversen schriftlichen Dar­legung der Asylgründe soweit erstellt, dass die entscheidrelevanten Elemente vorliegen.</w:t>
      </w:r>
    </w:p>
    <w:p>
      <w:r>
        <w:rPr>
          <w:b/>
        </w:rPr>
        <w:t>E. 5.2.2</w:t>
      </w:r>
    </w:p>
    <w:p>
      <w:r>
        <w:t>Bei dieser Sachlage bestand keine Veranlassung, die Beschwer­deführerin vor­gängig eines Entscheides durch eine schweizerische Vertretung zu­sätzlich persönlich anhören zu lassen. Das BFM hat den verfahrens­rechtlichen Anforderungen damit Genüge getan.</w:t>
      </w:r>
    </w:p>
    <w:p>
      <w:r>
        <w:rPr>
          <w:b/>
        </w:rPr>
        <w:t>E. 5.3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Die Einreise ist aber selbst im Falle einer allfälligen Schutzbedürftigkeit zu verweigern, wenn Asylausschlussgründe vorliegen (vgl. BVGE 2011/10).</w:t>
      </w:r>
    </w:p>
    <w:p>
      <w:r>
        <w:rPr>
          <w:b/>
        </w:rPr>
        <w:t>E. 6.1</w:t>
      </w:r>
    </w:p>
    <w:p>
      <w:r>
        <w:t>Aufgrund der illegalen Ausreise der Beschwerdeführerin aus Eritrea im militärdienstpflichtigen Alter (Setzen eines subjektiven Nachfluchtgrundes) würde diese in der Schweiz praxisgemäss als Flüchtling anerkannt. Indes würde ihr das Asyl verweigert und sie würde aus der Schweiz weggewiesen. Da sie jedoch als gefährdet gelten würde, wäre der Vollzug der Wegweisung unzulässig und sie würde deshalb im Sinne einer Ersatzmassnahme vorläufig aufgenommen. Gemäss Rechtsprechung schliesst das Bestehen der Flüchtlingseigenschaft allein aufgrund von subjektiven Nachfluchtgründen aber die Bewilligung zur Einreise in einem Auslandverfahren von vornherein aus. Demzufolge kommt der Frage massgebliches Gewicht zu, ob die Person, die aus einem Drittstaat ein Asylgesuch stellt, bereits im Zeitpunkt der Ausreise asylrechtlich relevante Gefährdung zu gewärtigen hatte (vgl. zum Ganzen BVGE 2012/26 E. 7 S. 519 f.).</w:t>
      </w:r>
    </w:p>
    <w:p>
      <w:r>
        <w:rPr>
          <w:b/>
        </w:rPr>
        <w:t>E. 6.2</w:t>
      </w:r>
    </w:p>
    <w:p>
      <w:r>
        <w:t>Es ist daher zu prüfen, ob die Beschwerdeführerin im Zeitpunkt der Ausreise aus Eritrea einer Gefährdung im Sinne von Art. 3 AsylG ausgesetzt war.</w:t>
      </w:r>
    </w:p>
    <w:p>
      <w:r>
        <w:rPr>
          <w:b/>
        </w:rPr>
        <w:t>E. 6.2.1</w:t>
      </w:r>
    </w:p>
    <w:p>
      <w:r>
        <w:t>Die Vorinstanz hielt in der angefochtenen Verfügung fest, dass hinsichtlich der Beschwerdeführerin keine glaubhaft dargelegten Anhaltspunkte für das Bestehen einer Gefährdungssituation im Sinne von Art. 3 AsylG im Zeitpunkt ihrer Ausreise aus Eritrea vorliegen würden. Massgebend für das Verlassen des Heimatlandes seien persönliche Probleme gewesen. Das Bundesverwaltungsgericht schliesst sich nach Überprüfung der Akten den vom BFM gezogenen Schlussfolgerungen an.</w:t>
      </w:r>
    </w:p>
    <w:p>
      <w:r>
        <w:rPr>
          <w:b/>
        </w:rPr>
        <w:t>E. 6.2.2</w:t>
      </w:r>
    </w:p>
    <w:p>
      <w:r>
        <w:t>Die diversen schriftlichen Eingaben weisen mehr oder weniger einen identischen Inhalt auf. In sämtlichen Eingaben führt die Beschwerdeführerin in Bezug auf Eritrea aus, das Land aufgrund ihrer halbäthiopischen Herkunft und den daraus resultierenden Diskriminierungen und Schwierigkeiten verlassen zu haben (u.a. Abkehr des Freundes, Verheiratung mit einem unbekannten Mann). Nähere Hinweise oder Aufschlüsse, wonach sie in Eritrea ernsthaften Nachteilen im Sinne von Art. 3 AsylG ausgesetzt gewesen sei, insbesondere auch bezüglich einer allfällig drohenden Zwangsverheiratung und damit auf eventuelle frauenspezifische Asylgründe, unterbleiben. Ausserdem machte sie trotz Aufforderung gemäss Schreiben vom 20. Juni 2011 keinen Gebrauch von der Möglichkeit, mit umfassenden und detaillierten Schilderungen Klärung hinsichtlich der Gründe herbeizuführen, aufgrund derer sie im Sinne des Asylgesetzes zum Verlassen des Heimatlands gezwungen gewesen wäre. Vor diesem Hintergrund ist festzuhalten, dass im Falle der Beschwerdeführerin konkrete Anhaltspunkte dafür fehlen, die irgendwelche Schlüsse auf eine Gefährdung asylrelevanten Ausmasses zuliessen. Jedenfalls kann aufgrund ihrer Ausführungen in sämtlichen schriftlichen Eingaben, inklusive der Beschwerde, keine asylrelevante Bedrohungs- oder Verfolgungssituation der Beschwerdeführerin im Zeitpunkt der Ausreise aus dem Heimatland angenommen werden. Indes ist davon auszugehen, dass sie Eritrea illegal verlassen hat. Wie unter Erwägung 6.1 bereits festgehalten, ist die Einreise der Beschwerdeführerin trotz allfälligen Bestehens der Flüchtlingseigenschaft und Beziehungsnähe zur Schweiz aber nicht zu bewilligen, da sie aufgrund subjektiver Nachfluchtgründe vom Asyl auszuschliessen ist (vgl. zu subjektiven Nachfluchtgründen BVGE 2009/29 [Präzisierung der Rechtsprechung] E 6.2-6.5; sowie zur Anwendung auf Eritrea das Urteil des Bundesverwaltungsgerichts D-3892/2008 vom 6. April 2010 E. 5.3). Angesichts dieser Sachlage erübrigen sich weitere Erörterungen.</w:t>
      </w:r>
    </w:p>
    <w:p>
      <w:r>
        <w:rPr>
          <w:b/>
        </w:rPr>
        <w:t>E. 6.3</w:t>
      </w:r>
    </w:p>
    <w:p>
      <w:r>
        <w:t>Zusammenfassend ergibt sich, dass das BFM der Beschwerdeführerin zu Recht die Einreise in die Schweiz verweigert und das Asylgesuch abgelehnt hat. Lediglich der Vollständigkeit halber sei erwähnt, dass vorliegend kein Raum für die Prüfung der Frage der Familienzusammenführung gemäss Art. 51 AsylG besteht. 7.Aus diesen Erwägungen ergibt sich, dass die angefochtene Verfügung Bundesrecht nicht verletzt, den rechtserheblichen Sachverhalt richtig und vollständig feststellt und angemessen ist (Art. 106 Abs. 1 AsylG). Das BFM hat das Asylgesuch und Gesuch um Einreise in die Schweiz zu Recht abgelehnt. Die Beschwerde ist nach dem Gesagten abzuweisen. 8.Bei diesem Ausgang des Verfahrens wären die Kosten grundsätzlich der Beschwerdeführerin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