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D-3389/2025 vom 26. Mai 2025</w:t>
      </w:r>
    </w:p>
    <w:p>
      <w:r>
        <w:t>Bundesverwaltungsgericht, 2025-05-26, DE</w:t>
      </w:r>
    </w:p>
    <w:p>
      <w:r>
        <w:rPr>
          <w:b/>
        </w:rPr>
        <w:t xml:space="preserve">Quelle: </w:t>
      </w:r>
      <w:r>
        <w:t>https://mcp.opencaselaw.ch/entscheid/bvger_D-3389_2025</w:t>
      </w:r>
    </w:p>
    <w:p>
      <w:r>
        <w:t>FR: TAF D-3389/2025 du 26 mai 2025</w:t>
      </w:r>
    </w:p>
    <w:p>
      <w:r>
        <w:t>IT: TAF D-3389/2025 del 26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w:t>
      </w:r>
    </w:p>
    <w:p>
      <w:r>
        <w:t>D-3389/2025 Seite 6 teilgenommen, sind durch die angefochtene Verfügung besonders berührt und haben ein schutzwürdiges Interesse an deren Aufhebung beziehungs- weise Änderung. Sie sind daher zur Einreichung der Beschwerde legiti- 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D-3389/2025 Seite 7</w:t>
      </w:r>
    </w:p>
    <w:p>
      <w:r>
        <w:rPr>
          <w:b/>
        </w:rPr>
        <w:t>E. 5.1</w:t>
      </w:r>
    </w:p>
    <w:p>
      <w:r>
        <w:t>Die Vorinstanz begründete ihren Entscheid im Wesentlichen damit, der Beschwerdeführer habe sich bisher keiner Straftat schuldig gemacht und gelte als strafrechtlich unbescholten. Vom Vorwurf der Mitgliedschaft bei einer bewaffneten Terrororganisation sei er freigesprochen worden. Das von ihm geltend gemachte Strafverfahren würde – sofern davon ausgegan- gen werde, dass die eingereichten Dokumente authentisch seien – keine flüchtlingsrechtliche Relevanz aufweisen. In der Türkei würden Ermitt- lungs- und Untersuchungsverfahren oft in teils hoher Zahl eingeleitet, aber häufig auch wieder eingestellt. Von den eröffneten Verfahren wegen ATG- Delikten (Antiterrorgesetz Nr. 3713), inklusive Propaganda für eine Terror- organisation, lag die durchschnittliche Wahrscheinlichkeit einer Verurtei- lung im Jahr 2023 nicht höher als 10%. Gemäss Rechtsprechung des Bun- desverwaltungsgerichts würden diese Durchschnittswerte, auch im Fall von mehreren Ermittlungsverfahren, kaum den Grad der beachtlichen Wahrscheinlichkeit erreichen. Zudem würden bei diesen Delikten die Straf- rahmen in der Regel nicht ausgeschöpft und allfällige Freiheitsstrafen häu- fig bedingt ausgesprochen oder die Verkündung des Strafurteils aufge- schoben. Der Beschwerdeführer verfüge als einfaches Mitglied der HDP über kein geschärftes politisches Profil aufgrund dessen der türkische Staat ein erhöhtes und anhaltendes Interesse an einer Verfolgung hätte. Auch stamme er nicht aus einer politisch-oppositionellen Familie. Die Fa- milie der Beschwerdeführerin sei zwar teilweise politisch aktiv, es würden aber keine konkreten und begründeten Hinweise vorliegen, dass die Be- schwerdeführenden deswegen erhebliche Nachteile erfahren hätten. Der Beschwerdeführer sei freigesprochen und die Täter, die ihn im September 2020 angegriffen und verletzt hätten, seien strafrechtlich verfolgt und teil- weise zu hohen Gefängnisstrafen verurteilt worden. Der Verdacht, der tür- kische Staat würde hinter dem Angriff auf den Beschwerdeführer stecken, beruhe auf reinen Mutmassungen und vermöge nicht zu überzeugen. Schliesslich sei auch seine Aussage, gegen ihn bestehe ein Ausreisever- bot, unbegründet; dem Freispruch vom 12. März 2021 sei zu entnehmen, dass das Ausreiseverbot aufgehoben worden sei. Somit sei bei ihm das Vorliegen gewichtiger Risikofaktoren, welche allenfalls ein illegitimes Straf- verfahren in der Heimat begünstigen würden, zu verneinen. Das von ihm geltend gemachte Strafverfahren sei somit flüchtlingsrechtlich nicht rele- vant. Auch seien keine Hinweise auf eine in absehbarer Zukunft drohende Untersuchungshaft vorhanden. Bezüglich die von den Beschwerdeführenden geltend gemachte Furcht vor Übergriffen durch Dritte stellte das SEM fest, es gehe grundsätzlich von</w:t>
      </w:r>
    </w:p>
    <w:p>
      <w:r>
        <w:t>D-3389/2025 Seite 8 der Schutzfähig- und -willigkeit der türkischen Behörden aus. Aus den Ak- ten gehe sodann hervor, dass es dem Beschwerdeführer bereits möglich war, sich Zugang zur staatlichen Schutzinfrastruktur zu verschaffen und staatlichen Schutz einzufordern. Ferner seien sie als Kurden und Aleviten zwar verschiedenen behördlichen Schikanen sowie Diskriminierungen ausgesetzt, dabei handle es sich jedoch in der Regel nicht um ernsthafte Nachteile. Die entsprechenden Vorbringen seien somit flüchtlingsrechtlich nicht relevant. Schliesslich seien auch ihre Vorbringen betreffend Erdbeben gemäss konstanter Praxis nicht asylrelevant.</w:t>
      </w:r>
    </w:p>
    <w:p>
      <w:r>
        <w:rPr>
          <w:b/>
        </w:rPr>
        <w:t>E. 5.2</w:t>
      </w:r>
    </w:p>
    <w:p>
      <w:r>
        <w:t>Dem wurde in der Beschwerde im Wesentlichen entgegengehalten, die Begründung der Vorinstanz greife zu kurz und es sei daran zu erinnern, dass ernsthafte Nachteile im Sinne von Art. 3 AsylG nicht nur in der Ge- fährdung des Leibes, des Lebens oder der Freiheit bestehen könnten, son- dern auch Massnahmen darunter zu verstehen seien, die einen unerträgli- chen psychischen Druck bewirken. Der Beschwerdeführer sei aufgrund seines politischen Engagements seit Jahren massiv in seiner Lebensfüh- rung beeinträchtigt. So sei er Ende 2016 vor den Augen seiner Kunden während seiner Arbeit als Chauffeur verhaftet worden; sein Haus sei durch- sucht und auf den Kopf gestellt worden, dies unter Gewaltanwendung, wo- bei er im Anschluss während einer Woche inhaftiert gewesen sei; es sei ein Strafverfahren wegen Mitgliedschaft in einer terroristischen Organisa- tion eingeleitet worden, wobei ihm jahrelang eine Meldepflicht und ein Aus- reiseverbot auferlegt worden sei, was ihn in seiner Arbeitstätigkeit einge- schränkt habe; er sei öffentlich als Terrorist vorgeführt und gefilmt worden; der Laden der Beschwerdeführenden sei überwacht worden und Razzien ausgesetzt gewesen; der Beschwerdeführer sei brutal zusammengeschla- gen worden, wobei er von den Tätern weiterhin Drohungen erhalten habe; Ende 2020 sei er ein zweites Mal verhaftet und sein Haus ein zweites Mal durchsucht worden, wobei er erneut inhaftiert worden sei; es sei ein zwei- tes Strafverfahren gegen ihn eröffnet worden, mit dem gleichen Gegen- stand wie das erste; auch nach seinem Freispruch sei ihm das Ausstellen eines Reisepasses verweigert worden; es sei ein weiteres Strafverfahren eingeleitet worden, wobei ihm wahrheitswidrig vorgeworfen werde, in sei- nem Geschäft Glücksspiele anzubieten. Der Beschwerdeführer sei seit acht Jahren Opfer von ständigen Schikanen und Verfolgungshandlungen durch die türkischen Behörden, ohne dass ein Ende dieser Tortur absehbar wäre. Das wiederholte Einleiten von Ermittlungsverfahren, wiederholte Ver- haftungen und Inhaftierungen, wiederholte Hausdurchsuchungen, jahre- lange Überwachungsmassenahmen, jahrelange Einschränkungen in der Bewegungsfreiheit, die öffentliche Diskreditierung und Diffamierung als</w:t>
      </w:r>
    </w:p>
    <w:p>
      <w:r>
        <w:t>D-3389/2025 Seite 9 angeblicher Terrorist sind als Massnahmen zu qualifizieren, die einen un- erträglichen psychischen Druck erzeugen. Ferner könne beim Beschwer- deführer nicht einfach von einer strafrechtlichen Unbescholtenheit ausge- gangen werden, nur weil er nie schuldig gesprochen worden sei. Es sei im Gegenteil von einer strafrechtlich relevanten Vorgeschichte auszugehen. Aufgrund dieser Vorgeschichte sei sodann auch von einem politisch rele- vanten Profil auszugehen. Die Wahrscheinlichkeit einer zukünftigen Verur- teilung müsse als beachtlich qualifiziert werden. Auch könne nicht einfach von der Schutzfähigkeit und Schutzwilligkeit der türkischen Behörden aus- gegangen werden. So sei der Beschwerdeführer nur darum ins Visier der Personen, die in angegriffen und verletzt hätten, geraten, weil er in der Öf- fentlichkeit jahrelang als Terrorist diffamiert worden sei, was allein den tür- kischen Behörden zuzuschreiben sei. Wäre der türkische Staat tatsächlich schutzwillig und schutzfähig, hätten die Behörden die Identität des Be- schwerdeführers während des Strafverfahrens geheim halten müssen, da die Unschuldsvermutung gelte. Es sei folglich davon auszugehen, dass ihm bei einer Rückkehr in die Türkei eine flüchtlingsrechtlich relevante Ver- folgung drohen würde.</w:t>
      </w:r>
    </w:p>
    <w:p>
      <w:r>
        <w:rPr>
          <w:b/>
        </w:rPr>
        <w:t>E. 6.1</w:t>
      </w:r>
    </w:p>
    <w:p>
      <w:r>
        <w:t>Das Gericht kommt mit der Vorinstanz zum Schluss, dass die Be- schwerdeführenden bei einer Rückkehr in ihren Heimatstaat keine flücht- lingsrechtlich relevante Verfolgung zu befürchten haben. Das SEM ist in seiner Verfügung mit zutreffender Begründung zum Ergebnis gelangt, dass die Vorbringen der Beschwerdeführenden die Voraussetzungen von Art. 3 AsylG nicht erfüllen. Zur Vermeidung von Wiederholungen kann mit den nachfolgenden Ergänzungen auf die ausführlichen Erwägungen des SEM verwiesen werden. Den Beschwerdeführenden gelingt es nicht, diesen in ihrer Beschwerde etwas Stichhaltiges entgegenzusetzen.</w:t>
      </w:r>
    </w:p>
    <w:p>
      <w:r>
        <w:rPr>
          <w:b/>
        </w:rPr>
        <w:t>E. 6.2</w:t>
      </w:r>
    </w:p>
    <w:p>
      <w:r>
        <w:t>Zunächst ist darauf hinzuweisen, dass das vom Beschwerdeführer geltend gemachte politische Engagement nicht als besonders exponiert einzustufen ist. So gab er anlässlich der Anhörung zu Protokoll, er sei seit 2015 Mitglied der HDP gewesen. Während den Wahlen 2015 sei er in der Leitung der HDP in H._______ gewesen und habe allgemeine Parteiarbei- ten ausgeführt (vgl. vorinstanzliche Akten act. 1254898-36, F59, F69). Wei- ter macht er keine politischen Aktivitäten geltend. Nach konstanter Praxis reicht eine solche niederschwellige Unterstützung der an sich legalen HDP nicht aus, um eine asylrelevante Verfolgungsgefahr zu begründen (vgl. etwa Urteile des BVGer. E-3979/2024 vom 2. April 2025). Die Beschwer- deführerin machte geltend, aus einer politischen Familie zu stammen und</w:t>
      </w:r>
    </w:p>
    <w:p>
      <w:r>
        <w:t>D-3389/2025 Seite 10 immer unter Diskriminierungen aufgrund dieses Engagements gelitten zu haben, weshalb sie nie politisch aktiv gewesen sei. Somit ergeben sich in Bezug auf sie ebenfalls keine Hinweise auf eine allfällige asylrelevante Ver- folgungsgefahr.</w:t>
      </w:r>
    </w:p>
    <w:p>
      <w:r>
        <w:rPr>
          <w:b/>
        </w:rPr>
        <w:t>E. 6.3</w:t>
      </w:r>
    </w:p>
    <w:p>
      <w:r>
        <w:t>Gemäss den vorliegenden Akten wurde der Beschwerdeführer vom Vorwurf der Mitgliedschaft in einer bewaffneten Terrororganisation freige- sprochen. Jedoch sei fast zeitgleich mit dem Freispruch ein Ermittlungs- verfahren wegen Propaganda für eine Terrororganisation gegen ihn eröff- net worden. In Bezug auf dieses Verfahren wird aus den Akten ersichtlich, dass die Staatsanwaltschaft F._______ gegen ihn und weitere Beschul- digte ein Verfahren initiiert hat. Die Akte wurde an die Staatsanwaltschaft Kahramanmaras überwiesen. In der Folge wies die Staatsanwaltschaft Kahramanmaras die Staatsanwaltschaft F._______ an, weitere Untersu- chungen durchzuführen. Weitere Unterlagen liegen nicht vor. Es ist im Ein- zelfall zu prüfen, ob sich im konkreten Verfahren Hinweise auf einen indivi- duellen Politmalus oder auf Gründe ergeben, die im konkreten Fall zu einer längeren Freiheitsstrafe führen könnten, wobei Risikofaktoren insbeson- dere frühere Verurteilungen sowie ein exponiertes politisches Profil dar- stellten (vgl. Referenzurteil des BVGer E-4103/2024 vom 8. November 2024 E. 8.7.4). Im vorliegenden Fall sind keine Hinweise auf einen solchen individuellen Politmalus ersichtlich. Das Gericht gelangt diesbezüglich mit dem SEM zum Schluss, dass es sich beim Beschwerdeführer um eine strafrechtlich bislang unbescholtene Person handelt, die kein geschärftes politisches Profil aufweist. Somit ist gestützt auf das Referenzurteil des Bundesverwaltungsgerichts E-4103/2024 vom 8. November 2024 nicht mit der massgeblichen Wahrscheinlichkeit davon auszugehen, dass der Be- schwerdeführer zu einer unbedingten Freiheitsstrafe verurteilt respektive im Falle einer unbedingten Freiheitstrafe der offene Strafvollzug angeord- net werden würde und er die Strafe im Gefängnis verbüssen müsste.</w:t>
      </w:r>
    </w:p>
    <w:p>
      <w:r>
        <w:rPr>
          <w:b/>
        </w:rPr>
        <w:t>E. 6.4</w:t>
      </w:r>
    </w:p>
    <w:p>
      <w:r>
        <w:t>Der Vollständigkeit halber ist festzustellen, dass auch nach dem Urteil des türkischen Verfassungsgerichts vom 1. Juni 2023, gemäss welchem den türkischen Strafgerichten die Möglichkeit, die Verkündung eines Straf- urteils aufzuschieben – also sogenannte HAGB-Entscheide auszufällen – entzogen wurde, aufgrund einer Anpassung der Strafprozessordnung (Art. 231 des Gesetzes Nr. 5271), die am 1. Juni 2024 in Kraft trat, solche HAGB-Entscheide weiterhin möglich sind (vgl. das Referenzurteil BVGer E-4103/2024 vom 8. November 2024 E. 8.4.3 [Rechtsnatur der HAGB-Ent- scheide] und E. 8.5 [Rechtsentwicklung in der Türkei]).</w:t>
      </w:r>
    </w:p>
    <w:p>
      <w:r>
        <w:t>D-3389/2025 Seite 11</w:t>
      </w:r>
    </w:p>
    <w:p>
      <w:r>
        <w:rPr>
          <w:b/>
        </w:rPr>
        <w:t>E. 6.5</w:t>
      </w:r>
    </w:p>
    <w:p>
      <w:r>
        <w:t>In Bezug auf den tätlichen Angriff auf den Beschwerdeführer ist mit der Vorinstanz festzuhalten, dass es sich dabei um einen Übergriff durch Dritte handelte. Auch wenn dieser im Zusammenhang mit der allgemeinen Dis- kriminierung stehen mag, welche wiederrum zumindest teilweise vom Staat ausgeht, kann nicht von einem mangelnden Schutzwillen der Behör- den gesprochen werden. So stand dem Beschwerdeführer offensichtlich der Rechtsweg offen und die Täter sind angeklagt und verurteilt worden. Das Gericht geht grundsätzlich davon aus, dass die türkischen Behörden schutzfähig und schutzwillig sind. Es finden sich vorliegend keine konkre- ten und begründeten Hinweise dafür, dass die türkischen Behörden ihm im Falle einer Bedrohung oder Verfolgung seitens Dritter keinen Schutz ge- währen würden. Ferner kann mit dem SEM festgehalten werden, dass die verschiedenen behördlichen Schikanen sowie Diskriminierungen, welchen die Beschwerdeführenden als kurdische Aleviten ausgesetzt sind, nicht um ernsthafte Nachteile im Sinne des Asylgesetzes handelt, beziehungsweise dass die notwendige Intensität ihres psychischen Drucks praxisgemäss nicht als ausreichend für die Begründung einer flüchtlingsrechtlichen Rele- vanz gilt.</w:t>
      </w:r>
    </w:p>
    <w:p>
      <w:r>
        <w:rPr>
          <w:b/>
        </w:rPr>
        <w:t>E. 6.6</w:t>
      </w:r>
    </w:p>
    <w:p>
      <w:r>
        <w:t>Den Beschwerdeführenden gelingt es somit nicht, die Flüchtlingseigen- schaft nachzuweisen oder zumindest glaubhaft zu machen, weshalb das SEM ihre Asylgesuche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D-3389/2025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w:t>
      </w:r>
    </w:p>
    <w:p>
      <w:r>
        <w:t>D-3389/2025 Seite 13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türkischen Konflikts sowie der bewaffneten Auseinandersetzung zwischen der PKK (Partiya Karkerên Kurdistanê) und den staatlichen Sicherheitskräften seit Juli 2015 im Südosten des Landes und der Entwicklungen nach dem Mili- tärputschversuch im Juli 2016 ist in der Türkei nicht von einer Situation allgemeiner Gewalt oder bürgerkriegsähnlichen Verhältnissen auszugehen (vgl. Referenzurteil E-1948/2018 vom 12. Juni 2018 E. 7.3.2, Urteile des BVGer D-1920/2023 vom 14. Juni 2023 E. 9.4.1 und E-6224/2019 vom 19. April 2023 E. 8.3.2 m.w.H.).</w:t>
      </w:r>
    </w:p>
    <w:p>
      <w:r>
        <w:rPr>
          <w:b/>
        </w:rPr>
        <w:t>E. 8.3.3</w:t>
      </w:r>
    </w:p>
    <w:p>
      <w:r>
        <w:t>Das Bundesverwaltungsgericht hält ausserdem den Wegweisungs- vollzug in die vom Erdbeben vom Februar 2023 betroffenen Gebiete (Pro- vinzen Kahramanmaraş, Hatay, Gaziantep, Osmaniye, Malatya, Adiyaman, Adana, Diyarbakır, Kilis, Şanliurfa und Elaziğ) nicht für generell unzumut- bar und nimmt zur Beurteilung der Zumutbarkeit eine einzelfallweise Prü- fung der individuellen Lebenssituation vor (vgl. Referenzurteil BVGer E-1308/2023 vom 19. März 2024 E. 11.3.1).</w:t>
      </w:r>
    </w:p>
    <w:p>
      <w:r>
        <w:rPr>
          <w:b/>
        </w:rPr>
        <w:t>E. 8.3.4</w:t>
      </w:r>
    </w:p>
    <w:p>
      <w:r>
        <w:t>Die Beschwerdeführenden stammen aus der Provinz Kahramanma- raş. Nachdem sich aus den Akten keine Hinweise auf eine spezifische Vul- nerabilität ergeben, kann auch in diesem Zusammenhang auf die</w:t>
      </w:r>
    </w:p>
    <w:p>
      <w:r>
        <w:t>D-3389/2025 Seite 14 zutreffenden Erwägungen des SEM in der angefochtenen Verfügung ver- wiesen werden. Mit ihrem tragfähigen Beziehungsnetz, der gesicherten Wohnsituation und ihrer Berufserfahrung, unter anderem im Bereich Ver- kauf und Gastronomie sowie als Chauffeur, ist nicht davon auszugehen, sie würden in eine existenzbedrohende Notlage geraten.</w:t>
      </w:r>
    </w:p>
    <w:p>
      <w:r>
        <w:rPr>
          <w:b/>
        </w:rPr>
        <w:t>E. 8.3.5</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Das mit der Beschwerde gestellte Gesuch um Gewährung der unent- geltlichen Rechtspflege ist abzuweisen, da die Begehren – wie sich aus den vorstehenden Erwägungen ergibt – als aussichtslos zu bezeichnen waren, weshalb die Voraussetzungen von Art. 65 Abs. 1 VwVG nicht erfüllt sind. Demzufolge ist auch das Gesuch um Bestellen einer unentgeltlichen Rechtsbeiständin abzuweisen.</w:t>
      </w:r>
    </w:p>
    <w:p>
      <w:r>
        <w:rPr>
          <w:b/>
        </w:rPr>
        <w:t>E. 10.2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D-3389/2025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