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D-3389/2016 vom 21. Juni 2017</w:t>
      </w:r>
    </w:p>
    <w:p>
      <w:r>
        <w:t>Bundesverwaltungsgericht, 2017-06-21, DE</w:t>
      </w:r>
    </w:p>
    <w:p>
      <w:r>
        <w:rPr>
          <w:b/>
        </w:rPr>
        <w:t xml:space="preserve">Quelle: </w:t>
      </w:r>
      <w:r>
        <w:t>https://mcp.opencaselaw.ch/entscheid/bvger_D-3389_2016</w:t>
      </w:r>
    </w:p>
    <w:p>
      <w:r>
        <w:t>FR: TAF D-3389/2016 du 21 juin 2017</w:t>
      </w:r>
    </w:p>
    <w:p>
      <w:r>
        <w:t>IT: TAF D-3389/2016 del 21 giugno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2</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zum Zeitpunkt der Flucht eine vorbestandene Familiengemeinschaft, die Trennung der Familie durch die Flucht sowie die fest beabsichtigte Familienvereinigung in der Schweiz voraus (BVGE 2012/32 E. 5). Vorliegend hält sich B._______ im Ausland auf, weshalb sich die Prüfung auf den Anspruch auf Einreise in die Schweiz zwecks Familienvereinigung gemäss Art. 51 Abs. 4 AsylG beschränkt und Art. 51 Abs. 1-3 AsylG nicht zur Anwendung gelangen.</w:t>
      </w:r>
    </w:p>
    <w:p>
      <w:r>
        <w:rPr>
          <w:b/>
        </w:rPr>
        <w:t>E. 3.1</w:t>
      </w:r>
    </w:p>
    <w:p>
      <w:r>
        <w:t>Die Vorinstanz begründete ihre Verfügung damit, dass sich der Beschwerdeführer den Akten zufolge im Jahre (...) verlobt habe. Dazu habe er ein Foto eingereicht, welches die Verlobung belegen solle. Er sei aufgefordert worden, dem SEM ein offizielles Dokument betreffend seine Verlobung einzureichen, was er bis heute unterlassen habe. Auf dem Personalienblatt und in seinem Auslandgesuch habe er zudem angegeben, ledig zu sein. Somit habe er die angebliche Verlobung nicht beweisen können. Weiter könne den Akten nicht entnommen werden, dass er je mit seiner Partnerin in einem gemeinsamen Haushalt zusammengelebt habe. Auf diese Tatsache angesprochen, habe er in seiner Eingabe vom 27. Januar 2016 (recte: 27. Februar 2016) den genannten Sachverhalt betreffend des Zusammenlebens mit seiner Partnerin bestätigt. Er habe zudem keine Beweismittel einreichen können, welche ein allfälliges Zusammenleben hätten beweisen können. Daher seien die Voraussetzungen von Art. 51 Abs. 4 AsylG nicht erfüllt.</w:t>
      </w:r>
    </w:p>
    <w:p>
      <w:r>
        <w:rPr>
          <w:b/>
        </w:rPr>
        <w:t>E. 3.2</w:t>
      </w:r>
    </w:p>
    <w:p>
      <w:r>
        <w:t>Dagegen brachte der Beschwerdeführer im Wesentlichen vor, in seiner Heimat dürften Paare vor der Heirat nicht zusammen leben. Auch im Falle einer Verlobung liege noch kein rechtskräftiger Vertrag bezüglich einer Heirat vor. Vor der Ehe würden die Verlobten als Einzelne und nicht als Paar betrachtet. Daher habe er in seinem letzten Interview seinen Personenstand als ledig angegeben. Ferner wies er darauf hin, dass B._______ am (...) aus Eritrea in den Sudan geflohen sei und zurzeit in D._______ lebe.</w:t>
      </w:r>
    </w:p>
    <w:p>
      <w:r>
        <w:rPr>
          <w:b/>
        </w:rPr>
        <w:t>E. 4.1</w:t>
      </w:r>
    </w:p>
    <w:p>
      <w:r>
        <w:t>Das SEM hat in der angefochtenen Verfügung zu Recht und mit zutreffender Begründung die Voraussetzungen für eine Familienzusammenführung als nicht erfüllt erachtet. Die Ausführungen in der Beschwerdeeingabe vermögen zu keiner anderen Beurteilung zu führen.</w:t>
      </w:r>
    </w:p>
    <w:p>
      <w:r>
        <w:rPr>
          <w:b/>
        </w:rPr>
        <w:t>E. 4.2</w:t>
      </w:r>
    </w:p>
    <w:p>
      <w:r>
        <w:t>Bei den anspruchsberechtigten Personen gemäss Art. 51 Abs. 4 AsylG handelt es sich um Ehegatten von Flüchtlingen und ihre unmündigen Kinder. Weiter sind Personen, die in eheähnlicher Gemeinschaft zusammenleben, den Ehegatten gestützt auf Art. 1a Bst. e AsylV 1 gleichgestellt - dies auch im Anwendungsbereich von Art. 51 AsylG (vgl. BVGE 2012/5 S. 45 ff.). Dabei müssen nach bundesgerichtlicher Rechtsprechung verschiedene Komponenten einer Beziehung gegeben sein, damit diese als eheähnlich - respektive als Konkubinat im engeren Sinne - angesehen werden kann: Die zwei Personen unterschiedlichen Geschlechts umfassende Lebensgemeinschaft muss auf längere Zeit, wenn nicht auf Dauer angelegt sein, Ausschliesslichkeitscharakter und sowohl eine geistig-seelische, als auch eine körperliche und eine wirtschaftliche Komponente aufweisen.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Die gesamten Umstände des Zusammenlebens sind von Bedeutung, um die Qualität einer Lebensgemeinschaft beurteilen zu können (BGE 140 V 50 E. 3.4.3; 138 III 97 E. 2.3.3; 134 V 369 E. 6.1.1; 118 II 235 E. 3.b m.w.H.). Diesbezüglich macht der Beschwerdeführer geltend, er sei mit seiner Partnerin seit dem Jahre (...) verlobt. Das SEM hat diesbezüglich in Ermangelung aussagekräftiger Dokumente zu Recht Zweifel am tatsächlichen Nachweis der Verlobung geäussert. Doch selbst bei Annahme einer tatsächlichen Verlobung könnte vorliegend nicht von einer eheähnlichen Gemeinschaft ausgegangen werden, die B._______ als anspruchsberechtigte Person im Sinne von Art. 51 Abs. 4 AsylG erscheinen liesse. Der Beschwerdeführer hat eigenen Angaben zufolge nie mit B._______ zusammengelebt, woran seine in der Beschwerdeschrift angeführten Gründe beziehungsweise Rechtfertigungen nichts zu ändern vermögen, weshalb er daraus nichts zu seinen Gunsten abzuleiten vermag. Überdies hat er seinen Heimatstaat eigenen Angaben zufolge bereits am 20. März 2011 und damit (Nennung Zeitdauer) nach der behaupteten Verlobung verlassen. Demnach kann seine Partnerin weder als anspruchsberechtigte Person im Sinne von Art. 51 Abs. 4 AsylG betrachtet werden noch bestand zum Zeitpunkt der Flucht eine Familiengemeinschaft, welche durch die Flucht getrennt worden wäre.</w:t>
      </w:r>
    </w:p>
    <w:p>
      <w:r>
        <w:rPr>
          <w:b/>
        </w:rPr>
        <w:t>E. 4.3</w:t>
      </w:r>
    </w:p>
    <w:p>
      <w:r>
        <w:t>Die Voraussetzungen der asylrechtlichen Familienzusammenführung sind somit nicht erfüllt und die Vorinstanz hat zu Recht das Gesuch um Einreise und Einbezug in die Flüchtlingseigenschaft gestützt auf Art. 51 Abs. 4 AsylG ablehnt.</w:t>
      </w:r>
    </w:p>
    <w:p>
      <w:r>
        <w:rPr>
          <w:b/>
        </w:rPr>
        <w:t>E. 5</w:t>
      </w:r>
    </w:p>
    <w:p>
      <w:r>
        <w:t>Aus diesen Erwägungen ergibt sich, dass die angefochtene Verfügung Bundesrecht nicht verletzt und auch sonst nicht zu beanstanden ist (Art. 106 Abs. 1 AsylG).</w:t>
      </w:r>
    </w:p>
    <w:p>
      <w:r>
        <w:rPr>
          <w:b/>
        </w:rPr>
        <w:t>E. 6</w:t>
      </w:r>
    </w:p>
    <w:p>
      <w:r>
        <w:t>Bei diesem Ausgang des Verfahrens sind die Kosten von Fr. 600.- dem Beschwerdeführer aufzuerlegen (Art. 1-3 des Reglements vom 21. Februar 2008 über die Kosten und Entschädigungen vor dem Bundesverwaltungsgericht [VGKE, SR 173.320.2]; Art. 63 Abs. 1 VwVG). Der am 15. Juni 2016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