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D-3389/2014 vom 24. November 2014</w:t>
      </w:r>
    </w:p>
    <w:p>
      <w:r>
        <w:t>Bundesverwaltungsgericht, 2014-11-24, DE</w:t>
      </w:r>
    </w:p>
    <w:p>
      <w:r>
        <w:rPr>
          <w:b/>
        </w:rPr>
        <w:t xml:space="preserve">Quelle: </w:t>
      </w:r>
      <w:r>
        <w:t>https://mcp.opencaselaw.ch/entscheid/bvger_D-3389_2014</w:t>
      </w:r>
    </w:p>
    <w:p>
      <w:r>
        <w:t>FR: TAF D-3389/2014 du 24 novembre 2014</w:t>
      </w:r>
    </w:p>
    <w:p>
      <w:r>
        <w:t>IT: TAF D-3389/2014 del 24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BFM, der Beschwerdeführer erfülle die Flüchtlingseigenschaft nicht, sowie die Anordnung der Wegweisung. Die Frage des Vollzugs der Wegweisung bildet damit nicht Gegenstand des Beschwerdeverfahrens.</w:t>
      </w:r>
    </w:p>
    <w:p>
      <w:r>
        <w:rPr>
          <w:b/>
        </w:rPr>
        <w:t>E. 4</w:t>
      </w:r>
    </w:p>
    <w:p>
      <w:r>
        <w:t>Der Beschwerdeführer rügt Verfahrensmängel. Die vorinstanzliche Verfügung und die Erwägungen zur Glaubhaftigkeit würden sich auf sehr schwache Argumentationspunkte stützen, währendem Glaubhaftigkeitsmerkmale sowie deutliche Realkennzeichen, welche für den Beschwerdeführer sprechen würden, unzureichend gewürdigt worden seien. Ferner sei die angefochtene Verfügung unvollständig. Diese sei zwar richtig paginiert worden, doch würden im Seitenbruch von Seite 3 auf Seite 4 eine Seite oder zumindest einige Wörter der Verfügung fehlen. Ausserdem habe es bei der Kurzbefragung sowie bei der Anhörung Verständigungsschwierigkeiten mit dem Dolmetscher gegeben beziehungsweise habe der Beschwerdeführer befürchtet, der Dolmetscher könne seine Antworten missverstehen. Diese verfahrensrechtlichen Rügen sind vorab zu prüfen, da sie allenfalls geeignet wären, eine Kassation der vorinstanzlichen Verfügung zu bewirken.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Dazu gehört auch die Pflicht, den Entscheid in genügender Weise zu begründen (Begründungspflicht).</w:t>
      </w:r>
    </w:p>
    <w:p>
      <w:r>
        <w:rPr>
          <w:b/>
        </w:rPr>
        <w:t>E. 4.2</w:t>
      </w:r>
    </w:p>
    <w:p>
      <w:r>
        <w:t>Mit dem vorgebrachten Einwand wird jedoch nicht ein Verfahrensmangel, sondern die Beweiswürdigung der Vorinstanz gerügt. Dies geht aus dem Vorbringen des Beschwerdeführers hervor, dass die Vorinstanz Glaubhaftigkeitsmerkmale sowie deutliche Realkennzeichen, welche für den Beschwerdeführer sprechen würden, unzureichend gewürdigt habe. Auf die entsprechende Rüge ist somit im Zusammenhang mit der Beweiswürdigung näher einzugehen.</w:t>
      </w:r>
    </w:p>
    <w:p>
      <w:r>
        <w:rPr>
          <w:b/>
        </w:rPr>
        <w:t>E. 4.3</w:t>
      </w:r>
    </w:p>
    <w:p>
      <w:r>
        <w:t>Der Einwand, wonach die vorinstanzliche Verfügung unvollständig sein soll, und zwischen der dritten und vierten Seite ein Teil fehlen soll, ist unbegründet. Vielmehr erstreckt sich das Wort "Allgemeinplätzen" richtig getrennt über die beiden Seiten. Folglich ist nicht ersichtlich, weshalb die angefochtene Verfügung unvollständig sein soll.</w:t>
      </w:r>
    </w:p>
    <w:p>
      <w:r>
        <w:rPr>
          <w:b/>
        </w:rPr>
        <w:t>E. 4.4</w:t>
      </w:r>
    </w:p>
    <w:p>
      <w:r>
        <w:t>Der Beschwerdeführer erklärte zu Beginn der Anhörung, er verstehe den Dolmetscher "gut" (vgl. BFM-Akten B26/19 F. 1). Aktenkundig hat er zwar eine einzige Frage bei der Anhörung in deutscher Sprache beantwortet (vgl. B26/19 F. 21), dies jedoch nach Rücksprache mit dem Befrager und dem Übersetzer (vgl. a.a.O). Die folgende Frage beantwortete er jedoch wieder in arabischer Sprache (vgl. B26/19 F. 22) und behielt dies in der Folge bei. Am Ende der Anhörung meldete denn auch die Hilfswerkvertretung keine Einwände gegen den Dolmetscher beziehungsweise die Übersetzung an (vgl. B26/19 S. 19). Im Übrigen hat der Beschwerdeführer bereits bei der Kurzbefragung erklärt, er sei ethnischer Araber (vgl. B9/11 S. 3), seine Muttersprache sei Arabisch (vgl. B9/11 S. 4) und er habe den Dolmetscher "gut" verstanden (vgl. B9/11 S. 9), weshalb die anderslautenden Einwände auf Beschwerdeebene nicht gehört werden können.</w:t>
      </w:r>
    </w:p>
    <w:p>
      <w:r>
        <w:rPr>
          <w:b/>
        </w:rPr>
        <w:t>E. 4.5</w:t>
      </w:r>
    </w:p>
    <w:p>
      <w:r>
        <w:t>Zusammenfassend ist somit festzuhalten, dass keine Anhaltspunkte für eine Gehörsverletzung oder für eine Verletzung des Untersuchungsgrundsatzes vorliegen. Die entsprechenden Rügen erweisen sich nach dem Gesagten als unbegründet. Der Antrag auf Rückweisung zur Neubeurteilung ist deshalb abzuweisen.</w:t>
      </w:r>
    </w:p>
    <w:p>
      <w:r>
        <w:rPr>
          <w:b/>
        </w:rPr>
        <w:t>E. 5.1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5.4</w:t>
      </w:r>
    </w:p>
    <w:p>
      <w:r>
        <w:t>Die soeben aufgeführten Kriterien der Glaubhaftmachung sind mit Blick auf die Asylvorbringen des Beschwerdeführers nicht als erfüllt zu erachten. Dabei ist zunächst in Übereinstimmung mit der Vorinstanz festzustellen, dass der Beschwerdeführer im Rahmen seiner Anhörungen über wesentliche Aspekte seiner Fluchtgeschichte nur oberflächliche und stereotype sowie in keiner Weise mit der allgemeinen Lebenserfahrung zu vereinbarenden Angaben zu machen vermochte. Dies gilt auch für die Schilderung seines Rückflugs nach Syrien und die diesbezüglich geltend gemachten Verhöre und Schläge durch syrische Beamte sowie der Beschreibung seiner fünfzehntägigen Haft nach der Ankunft in (...). Die Ausführungen des Beschwerdeführers zur Begründung seines Asylgesuchs weisen ausserdem in wesentlichen Punkten verschiedene offensichtliche Widersprüche auf: So gab der Beschwerdeführer einerseits zu Protokoll, nach der Haftentlassung Anfang 2009 habe er insgesamt dreimal beim politischen Sicherheitsdienst vorsprechen müssen (vgl. B9/11 S. 8), andererseits will er nach seiner Haftentlassung keinen Behördenkontakt mehr gehabt haben (vgl. B26/19 F. 68). Des Weiteren brachte er vor, ungefähr ein bis zwei Monate nach seiner Ankunft in B._______ habe die Militärpolizei nach ihm gesucht, als er gerade nicht anwesend gewesen sei, und habe eine Vorladung für den Militärdienst für ihn dagelassen. Daraufhin habe er sein Elternhaus in B._______ verlassen und sich zunächst an verschiedenen Orten in C._______ versteckt, dann sei er nach G._______ geflohen, wo er im Haus seines Onkels gewohnt habe (vgl. B26/19 F. 22). Auch will er nach seiner Rückkehr nach Syrien nicht mehr gearbeitet haben (vgl. B26/19 F. 63). Demgegenüber erwähnte er bei der Kurzbefragung den Erhalt der Vorladung für das Militär mit keinem Wort und erklärte ausdrücklich, abgesehen von Erkundigungen durch die Sicherheitsbehörden bei seinen Cousins und Brüdern, habe es im Januar 2009 keine Vorfälle gegeben (vgl. B9/11 S. 8). Nach seiner Rückkehr nach Syrien im Jahr 2008 habe er insgesamt rund drei Jahre bei seinen Eltern in B._______ gewohnt (vgl. B9/11 S. 5), und von 2010 bis zu seiner Ausreise habe er unregelmässig als Taxifahrer gearbeitet (vgl. B9/11 S. 4). Abgesehen von diesen widersprüchlichen Aussagen, konnte der Beschwerdeführer die geltend gemachte behördliche Suche nach ihm nicht näher beschreiben. Er konnte weder die Fragen beantworten, wann beziehungsweise, wie oft er gesucht worden sei, noch ob er vor oder nach seiner Ausreise nach Syrien ins Visier der Behörden geraten sei (vgl. B26/19 F. 62, F. 76 ff., F. 82, F. 121 ff.). Darüber hinaus konnte er auch den Betrag, welchen sein Vater für seine Freilassung entrichtet haben soll, nicht beziffern (vgl. B26/19 F. 57). Im Rahmen der Anhörung wurde er immer wieder auf die aufgezeigten Unstimmigkeiten angesprochen, vermochte diese aber nicht aufzulösen. Auch die Ausführungen in der Beschwerdeschrift sind nicht geeignet, diesbezüglich etwas beizutragen. Vielmehr ergeben sich aus der Argumentation neue Unstimmigkeiten. So soll der Beschwerdeführer auf entsprechende Nachfragen seiner Rechtsvertreterin hin erklärt haben, nicht er, sondern sein Bruder habe als Taxifahrer gearbeitet. Er habe dies bereits bei der Kurzbefragung klargestellt, doch sei dies aufgrund der Verständigungsschwierigkeiten mit dem Dolmetscher nicht geglückt. Demgegenüber hat der Beschwerdeführer bei der Kurzbefragung nicht nur ausdrücklich zu Protokoll gegeben, dass er (unregelmässig) als Taxifahrer gearbeitet habe, sondern auch die Frage nach seinem Verdienst mit "Ganz wenig" beantwortet und diesen auf 300'000 bis 400'000 syrische Lira geschätzt (vgl. B9/11 S. 4).</w:t>
      </w:r>
    </w:p>
    <w:p>
      <w:r>
        <w:rPr>
          <w:b/>
        </w:rPr>
        <w:t>E. 5.5</w:t>
      </w:r>
    </w:p>
    <w:p>
      <w:r>
        <w:t>Auch die eingereichten Beweismittel können zu keiner anderen Einschätzung führen. Im Arztzeugnis vom 29. Mai 2013 wird beim Beschwer­deführer eine chronische Posttraumatische Belastungsstörung (PTBS) diagnostiziert, weil er viel Leid seiner engsten Familienmitglieder habe ansehen müssen (vgl. B19/5 S. 3). Gemäss dem eingereichten Arztzeugnis vom 28. November 2012 leidet der Beschwerdeführer an einer PTBS. Die schweren Kriegserlebnisse vom Sommer 2012, in deren Folge bei einer Explosion der Vater und weitere Familienangehörige des Beschwerdeführers vor dessen Augen umgekommen seien, hätten bei ihm zu gesundheitlichen Problemen geführt (vgl. B18/2). Im Verlauf der Anhörung korrigierte der Beschwerdeführer diese Angabe dahingehend, dass sein Vater und weitere Familienangehörigen nicht vor seinen Augen umgekommen seien, sondern er dies in Videos (vgl. die zu den Akten gereichte DVD) gesehen habe. Er habe sich zum Zeitpunkt der Bombardierungen in der Schweiz befunden, doch da er die Geschehnisse in einem Film gesehen habe, sei es für ihn, als ob er sie auch erlebt habe (vgl. B26/19 F. 107). Im Zusammenhang mit dem ins Recht gelegten Haftbefehl für seinen Bruder H._______ sowie bezüglich der ins Recht gelegten Linksammlung zur Verhaftung seines Cousins hielt der Beschwerdeführer selbst ausdrücklich fest, dass er damit nur habe beweisen wollen, dass die syrischen Behörden seine gesamte Familie als politisch aktiv betrachten würden (vgl. B26/19 F. 102 und 105). In Anbetracht dessen, dass er gleichzeitig zu Protokoll gab, er sei persönlich nie politisch aktiv gewesen (vgl. B26/19 F. 104) beziehungsweise er sei zu diesem Zeitpunkt in der Schweiz gewesen (vgl. B26/19 F. 103) und die Frage, ob er oder seine Familie aufgrund der politischen Aktivitäten einiger ihrer Verwandten Probleme mit den Behörden gehabt habe, verneinte (vgl. B26/19 F. 124), und sogar nachschob, er sei damals zu jung gewesen, sind die eingereichten Beweismittel nicht geeignet, die vom Beschwerdeführer geltend gemachte Gefährdungslage zu untermauern. Die beim Beschwerdeführer diagnostizierte posttraumatische Belastungsstörung (PTBS) bildet für sich allein ohnehin kein Indiz für asylrechtlich relevante Ereignisse (vgl. Urteil des Bundesverwaltungsgerichts D-3336/2013 vom 12. August 2013 E. 5.2.1 m. w. H.).</w:t>
      </w:r>
    </w:p>
    <w:p>
      <w:r>
        <w:rPr>
          <w:b/>
        </w:rPr>
        <w:t>E. 5.6</w:t>
      </w:r>
    </w:p>
    <w:p>
      <w:r>
        <w:t>Aus dem Gesagten ergibt sich, dass das BFM zutreffenderweise zur Einschätzung gelangt ist, die Vorbringen des Beschwerdeführers seien nicht glaubhaft, und die eingereichten Beweismittel könnten an dieser Feststellung nichts ändern. Das Bundesamt hat folglich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ist seit dem 24. Juni 2014 mit einer (...) Staatsangehörigen verheiratet, die im Besitze einer Niederlas­sungsbewilligung "C" ist. Damit verfügt er grundsätzlich über einen An­spruch auf Erteilung einer ausländerrechtlichen Aufenthaltsbewilligung (vgl. Art. 42 Abs. 2 und Art. 43 Abs. 1 AuG). Das Bundesverwaltungsgericht prüft bei Ablehnung des Asylgesuchs vorfrageweise diesen Anspruch aber nur, wenn bei den zuständigen kantonalen Migrationsbehörden ein entsprechendes Gesuch um Erteilung einer Aufenthaltsbewilligung hängig ist (vgl. BVGE 2013/37 E. 4.4.2.2 am Ende), was aktuell nicht der Fall ist. Somit ist die Wegweisung zu Recht erfolgt. Gestützt auf Art. 84 Abs. 4 AuG würde die vorläufige Aufnahme bei der allfälligen Erteilung einer Aufenthaltsbewilligung erlöschen.</w:t>
      </w:r>
    </w:p>
    <w:p>
      <w:r>
        <w:rPr>
          <w:b/>
        </w:rPr>
        <w:t>E. 6.3</w:t>
      </w:r>
    </w:p>
    <w:p>
      <w:r>
        <w:t>Der Beschwerdeführer wurde vom BFM in der angefochtenen Verfügung wegen Unzumutbarkeit des Wegweisungsvollzugs vorläufig in der Schweiz aufgenommen, weshalb sich weitere Erörterungen erübrigen. 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welche mit dem vorliegenden Urteil in Kraft tritt.</w:t>
      </w:r>
    </w:p>
    <w:p>
      <w:r>
        <w:rPr>
          <w:b/>
        </w:rPr>
        <w:t>E. 7</w:t>
      </w:r>
    </w:p>
    <w:p>
      <w:r>
        <w:t>Aus den angestellten Erwägungen ergibt sich somit, dass die - einzig in den Punkten 1, 2 und 3 des Dispositivs angefochtene Verfügung Bundesrecht nicht verletzt sowie den rechtserheblichen Sachverhalt richtig und vollständig feststellt (Art. 106 AsylG). Die Beschwerde ist folglich abzuweisen.</w:t>
      </w:r>
    </w:p>
    <w:p>
      <w:r>
        <w:rPr>
          <w:b/>
        </w:rPr>
        <w:t>E. 8</w:t>
      </w:r>
    </w:p>
    <w:p>
      <w:r>
        <w:t>Das Gesuch um Verzicht auf die Erhebung eines Kostenvorschusses wird mit dem vorliegenden Entscheid gegenstandslos.</w:t>
      </w:r>
    </w:p>
    <w:p>
      <w:r>
        <w:rPr>
          <w:b/>
        </w:rPr>
        <w:t>E. 9</w:t>
      </w:r>
    </w:p>
    <w:p>
      <w:r>
        <w:t>Die Gesuche um Gewährung der unentgeltlichen Rechtspflege gemäss Art. 65 Abs. 1 VwVG sowie um Gewährung der amtlichen Verbeiständung gemäss Art. 110a Abs. 1 AsylG sind abzuweisen, da sich die Rechtsbegehren wegen der unglaubhaften Vorbringen als aussichtslos erwiesen haben.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