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D-3387/2012 vom 23. August 2012</w:t>
      </w:r>
    </w:p>
    <w:p>
      <w:r>
        <w:t>Bundesverwaltungsgericht, 2012-08-23, DE</w:t>
      </w:r>
    </w:p>
    <w:p>
      <w:r>
        <w:rPr>
          <w:b/>
        </w:rPr>
        <w:t xml:space="preserve">Quelle: </w:t>
      </w:r>
      <w:r>
        <w:t>https://mcp.opencaselaw.ch/entscheid/bvger_D-3387_2012</w:t>
      </w:r>
    </w:p>
    <w:p>
      <w:r>
        <w:t>FR: TAF D-3387/2012 du 23 août 2012</w:t>
      </w:r>
    </w:p>
    <w:p>
      <w:r>
        <w:t>IT: TAF D-3387/2012 del 23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Vorbehalt der nachfolgenden Erwägung - einzutreten.</w:t>
      </w:r>
    </w:p>
    <w:p>
      <w:r>
        <w:rPr>
          <w:b/>
        </w:rPr>
        <w:t>E. 1.4</w:t>
      </w:r>
    </w:p>
    <w:p>
      <w:r>
        <w:t>Der Beschwerde kommt von Gesetzes wegen aufschiebende Wirkung zu (Art. 55 Abs. 1 VwVG), und das BFM hat in der angefochtenen Verfügung einer allfälligen Beschwerde die aufschiebende Wirkung nicht entzogen (vgl. Art. 55 Abs. 2 VwVG). Demzufolge ist auf das Begehren, es sei festzustellen, dass die Beschwerde aufschiebende Wirkung habe,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darauf hinzuweisen, dass der Beschwerdeführer den Wortlaut der Protokolle mit seiner Unterschrift bestätigt hat und sich deshalb seine Aussagen entgegenhalten lassen muss, zumal er die übersetzenden Personen bei beiden Befragungen gut verstanden haben will (vgl. BFM-Akten A 1/13 S. 11; A 18/20 S. 2).</w:t>
      </w:r>
    </w:p>
    <w:p>
      <w:r>
        <w:rPr>
          <w:b/>
        </w:rPr>
        <w:t>E. 5.2</w:t>
      </w:r>
    </w:p>
    <w:p>
      <w:r>
        <w:t>Nach Prüfung der Akten durch das Gericht ist - in Übereinstimmung mit der Vorinstanz - festzustellen, dass die Asylvorbringen des Beschwerdeführers den Anforderungen an die Glaubhaftigkeit gemäss Art. 7 AsylG nicht standzuhalten vermögen beziehungsweise nicht asylrelevant sind, weshalb diesbezüglich vorab auf die ausführlichen und zutreffenden vorinstanzlichen Erwägungen zu verweisen ist (vgl. Ziffer I, Bst. C. vorstehend). In Ergänzung dazu ist festzuhalten, dass sich der Beschwerdeführer anlässlich der Befragungen auch hinsichtlich des Besuchs der sri-lankischen Soldaten bei seiner Tante im Dezember 2008 widersprach. So sagte er bei der Kurzbefragung aus, sie seien gegen 14 Uhr gekommen (A 1/13 S. 6), während er bei der Anhörung zu Protokoll gab, die Soldaten seien Mittags zwischen 12 Uhr und 12.30 Uhr bei seiner Tante erschienen (A 18/20 S. 10). Die Vorbringen in der Rechtsmittelschrift sind nicht geeignet, eine Änderung der vorinstanzlichen Verfügung zu bewirken. Der Argumentation des BFM werden keine stichhaltigen und substanziierten Gründe entgegengesetzt. So widerspricht insbesondere die Behauptung in der Beschwerde, der Beschwerdeführer habe sich nach seiner Freilassung im November 2007 nicht einmal im Monat, sondern einmal in der Woche im Camp der sri-lankischen Armee melden müssen (vgl. Beschwerdeschrift S. 6, 13), den anlässlich der Anhörung geltend gemachten Aussagen, wo er vorbrachte, er habe sich einmal pro Monat im Camp melden müssen (A 18/20 S. 6 F 44). Gegen die Glaubhaftigkeit der vom Beschwerdeführer geltend gemachten Verfolgungsvorbringen spricht auch der Umstand, dass er kurz vor Ende des Bürgerkrieges unter Verwendung seiner Identitätskarte problemlos nach Colombo reisen konnte. Hätte die sri-lankische Armee ihn tatsächlich ernsthaft verdächtigt, die LTTE unterstützt zu haben, und ihn deswegen gesucht, hätte sie ihn bei den Kontrollen nicht passieren lassen. Gestützt auf das vorstehend Ausgeführte ist zu schliessen, dass es sich bei der vom Beschwerdeführer behaupteten Verfolgungssituation lediglich um ein Konstrukt handelt, zumal auch die Ausreise über den Flughafen von Colombo nicht dem Verhalten einer Person entspricht, die begründete Furcht vor Verfolgung hat.</w:t>
      </w:r>
    </w:p>
    <w:p>
      <w:r>
        <w:rPr>
          <w:b/>
        </w:rPr>
        <w:t>E. 5.3</w:t>
      </w:r>
    </w:p>
    <w:p>
      <w:r>
        <w:t>Zusammenfassend ist daher festzuhalten, dass es dem Beschwerdeführer nicht gelungen ist, nachzuweisen oder zumindest glaubhaft zu machen, dass er in seiner Heimat ernsthafte Nachteile gemäss Art. 3 AsylG erlitten hat oder solche bei der Ausreise zu befürchten hatte oder im Falle einer Rückkehr nach Sri Lanka befürchten müsste. Der Beschwerdeführer vermag mit seinen Beschwerdevorbringen und den eingereichten Beweismitteln zu keiner anderen Betrachtungsweise zu führen, weshalb es sich erübrigt, weiter darauf einzugehen. Das BFM hat demnach zu Recht die Flüchtlingseigenschaft des Beschwerdeführers verneint und dessen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(Walter Stöckli, Asyl, in: Uebersax/Rudin/Hugi Yar/Geiser,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Das Bundesverwaltungsgericht nahm in BVGE 2011/24 eine umfassende Analyse der Situation in Sri Lanka vor. Danach hat sich seit dem Ende des bewaffneten Konflikts zwischen der sri-lankischen Armee und den LTTE im Mai 2009 die Menschenrechts- und Sicherheitslage in Sri Lanka wesentlich verbessert (BVGE a.a.O. E. 12). Die Lage präsentiert sich allerdings nicht in allen Landesteilen gleich. Unterschieden werden muss zwischen der Ostprovinz, in die der Wegweisungsvollzug grundsätzlich zumutbar ist, und zwei verschiedenen Gebieten innerhalb der Nordprovinz, in die der Wegweisungsvollzug nicht oder nur unter bestimmten Voraussetzungen zumutbar ist: Der Wegweisungsvollzug ins sogenannte Vanni-Gebiet ist unzumutbar, während der Vollzug in die übrigen Gebiete der Nordprovinz nicht als generell unzumutbar eingestuft wird, sondern im Einzelfall eine zurückhaltende Beurteilung der individuellen Zumutbarkeitskriterien vorgenommen werden muss. Die Rückkehr in alle anderen Landesteile, insbesondere in den Grossraum Colombo, ist grundsätzlich zumutbar (BVGE a.a.O. E. 13).</w:t>
      </w:r>
    </w:p>
    <w:p>
      <w:r>
        <w:rPr>
          <w:b/>
        </w:rPr>
        <w:t>E. 7.3.3</w:t>
      </w:r>
    </w:p>
    <w:p>
      <w:r>
        <w:t>Anlässlich der Kurzbefragung machte der junge und - gemäss den Akten - gesunde Beschwerdeführer geltend, er stamme aus dem Distrikt Jaffna, wo er von Geburt bis Anfang 1994 und von 2002 bis 2008 zusammen mit seiner Familie gewohnt habe. Von Anfang 1994 bis Ende 2002 und von 2008 bis zu seiner Ausreise im März 2009 habe er sich in der Nähe der Stadt Vavuniya aufgehalten (A 1/13 S. 2). Bei der Kurzbefragung gab er im Weiteren zu Protokoll, dass seine Eltern sowie seine jüngste Schwester im Distrikt Jaffna leben würden (A 1/13 S. 3). Überdies ergibt sich aus den Akten, dass seine Tante sowie seine Cousine in der Nähe der Stadt Vavuniya wohnen. Soweit der Beschwerdeführer in der Rechtsmittelschrift geltend macht, seine Mutter sowie seine jüngste Schwester hielten sich seit zirka Februar 2009 in Indien auf, ist festzuhalten, dass dieses Vorbringen unglaubhaft ist, zumal er anlässlich der Kurzbefragung vom 14. April 2009 vorbrachte, sie lebten in D._______. Abgesehen davon ist die Behauptung nicht belegt, weshalb davon auszugehen ist, dass diese sich nach wie vor im Distrikt Jaffna aufhalten. Die Aussage in der Beschwerde, wonach der Beschwerdeführer bei einer Rückkehr nach Sri Lanka weder bei seinem Vater noch bei seiner Tante oder seiner Cousine willkommen wäre, da alle fürchteten, Probleme bei seiner Aufnahme zu bekommen, ist als Schutzbehauptung zu werten, da - wie oben dargelegt - davon auszugehen ist, dass es sich bei der vom Beschwerdeführer geltend gemachten Verfolgungssituation lediglich um ein Konstrukt handelt (vgl. vorstehend E. 5.2). Nach dem Gesagten ist zu schliessen, dass er im Distrikt Jaffna beziehungsweise im Distrikt Vavuniya über ein tragfähiges soziales Netz verfügt. Der Beschwerdeführer hat eine gute Schulbildung; zudem verfügt er über Berufserfahrung in der (...) und ist in der Schweiz seit einiger Zeit in der (...) tätig, weshalb er in der Lage sein wird, sich in der Heimat wirtschaftlich zu reintegrieren. Zur Überbrückung allfälliger Anfangsschwierigkeiten kann er beim BFM Rückkehrhilfe beantragen. Insbesondere genügen bloss soziale und wirtschaftliche Schwierigkeiten, von denen die ansässige Bevölkerung im Allgemeinen betroffen ist, nicht, um eine konkrete Gefährdung im Sinne von Art. 83 Abs. 4 AuG darzustellen (vgl. BVGE 2008/34 E. 11.2.2). Es ist somit - entgegen der Behauptung in der Rechtsmittelschrift - nicht anzunehmen, dass der Beschwerdeführer bei einer Rückkehr in seinen Heimatstaat in eine existenzielle Notlage geraten würde. Der Vollzug der Wegweisung erweist sich somit sowohl in genereller als auch in individueller Hinsicht als zumutbar.</w:t>
      </w:r>
    </w:p>
    <w:p>
      <w:r>
        <w:rPr>
          <w:b/>
        </w:rPr>
        <w:t>E. 7.4</w:t>
      </w:r>
    </w:p>
    <w:p>
      <w:r>
        <w:t>Schliesslich ist festzustellen, dass der Vollzug der Wegweisung mangels aktenkundiger objektiver Hindernisse auch möglich im Sinne von Art. 83 Abs. 2 AuG ist.</w:t>
      </w:r>
    </w:p>
    <w:p>
      <w:r>
        <w:rPr>
          <w:b/>
        </w:rPr>
        <w:t>E. 7.5</w:t>
      </w:r>
    </w:p>
    <w:p>
      <w:r>
        <w:t>Der Vollzug der Wegweisung steht somit in Übereinstimmung mit den zu beachtenden Bestimmungen und ist zu bestätigen.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20. Juli 2012 in derselben Höhe geleisteten Kostenvorschuss zu verrechnen.</w:t>
      </w:r>
    </w:p>
    <w:p>
      <w:r>
        <w:rPr>
          <w:b/>
        </w:rPr>
        <w:t>E. 9.2</w:t>
      </w:r>
    </w:p>
    <w:p>
      <w:r>
        <w:t>Bei diesem Verfahrensausgang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