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D-3382/2014 vom 21. August 2014</w:t>
      </w:r>
    </w:p>
    <w:p>
      <w:r>
        <w:t>Bundesverwaltungsgericht, 2014-08-21, DE</w:t>
      </w:r>
    </w:p>
    <w:p>
      <w:r>
        <w:rPr>
          <w:b/>
        </w:rPr>
        <w:t xml:space="preserve">Quelle: </w:t>
      </w:r>
      <w:r>
        <w:t>https://mcp.opencaselaw.ch/entscheid/bvger_D-3382_2014</w:t>
      </w:r>
    </w:p>
    <w:p>
      <w:r>
        <w:t>FR: TAF D-3382/2014 du 21 août 2014</w:t>
      </w:r>
    </w:p>
    <w:p>
      <w:r>
        <w:t>IT: TAF D-3382/2014 del 21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nach der fristgerechten Leistung des Kostenvorschusses einzutreten.</w:t>
      </w:r>
    </w:p>
    <w:p>
      <w:r>
        <w:rPr>
          <w:b/>
        </w:rPr>
        <w:t>E. 3</w:t>
      </w:r>
    </w:p>
    <w:p>
      <w:r>
        <w:t>Die Kognition des Bundesverwaltungsgerichts und die zulässigen Rügen bestimmen sich nach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Beschwerdeführenden wenden unter Bezugnahme auf die Schutztheorie ein, sie würden einerseits von privater Seite, andererseits durch die Strafverfolgungsbehörden verfolgt. Die Verfolgung durch die Islamisten sei gezielt. Bei den Widersachern handle es sich nicht um gewöhnliche Drittpersonen, sondern um Anhänger der Muslimbruderschaft. Zudem sei der ägyptische Staat mit anderen innerstaatlichen Problemen beschäftigt und faktisch nicht in der Lage, den Beschwerdeführenden Schutz zu gewähren. Daher sei die Verfolgung asylrechtlich relevant und stelle eine Gefährdung im Sinne von Art. 3 AsylG dar.</w:t>
      </w:r>
    </w:p>
    <w:p>
      <w:r>
        <w:rPr>
          <w:b/>
        </w:rPr>
        <w:t>E. 6.2</w:t>
      </w:r>
    </w:p>
    <w:p>
      <w:r>
        <w:t>Diese Argumentation der Beschwerdeführenden vermag nicht zu überzeugen. Nach der Schutztheorie ist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Es obliegt dabei der entscheidenden Behörde, die konkrete Effektivität des Schutzes im Heimatland abzuklären und zu begründen (vgl. Entscheidungen und Mitteilungen der Schweizerischen Asylrekurskommission [EMARK] 2006 Nr. 18 E. 10.2 f. S. 202 f.). Die Überprüfung der Akten ergibt, dass die Vorinstanz mit zutreffender Begründung ausführte, es bestehe keine generelle Unwilligkeit der ägyptischen Polizei, gegen die Muslimbruderschaft vorzugehen (vgl. Sachverhalt Bst. B). Insofern erweist sich das Vorbringen, die Beschwerdeführenden würden (auch) durch die Strafverfolgungsbehörden verfolgt, als unbegründet. Abgesehen davon kommt die Schutztheorie ohnehin nur im Zusammenhang mit nichtstaatlicher Verfolgung zum Tragen. Die geltend gemachte Verfolgung durch Drittpersonen erweist sich zwar insoweit als gezielt, als die Beschwerdeführenden vorbringen, sie würden von Anhängern der Muslimbruderschaft, von welchen sie identifiziert beziehungsweise erkannt worden seien, im Sinne einer Reflexverfolgung behelligt, nachdem bekanntgeworden sei, dass ihre Tochter G._______ im Zusammenhang mit den Vorfällen vom (...) 2013 (...) Täter denunziert habe, welche in der Folge verhaftet und verurteilt worden seien. Diese Reflexverfolgung gründet indes nicht in der Zugehörigkeit der Beschwerdeführenden zur christlichen Religion, sondern in der Rache für die Denunziation, Ergreifung und Verurteilung eines Teils einer Täterschaft, wegen deren damaligen Angriffs auf eine Polizeistation zahlreiche Todesopfer und grosser Sachschaden zu verzeichnen waren. Mithin mangelt es diesbezüglich an einem asylbeachtlichen Motiv der Verfolger.</w:t>
      </w:r>
    </w:p>
    <w:p>
      <w:r>
        <w:rPr>
          <w:b/>
        </w:rPr>
        <w:t>E. 6.3</w:t>
      </w:r>
    </w:p>
    <w:p>
      <w:r>
        <w:t>Zusammenfassend ist festzuhalten, dass es den Beschwerdeführenden nicht gelang, Gründe nach Art. 3 AsylG nachweisen oder glaubhaft machen. In Würdigung der gesamten Umstände und Vorbringen der Beschwerdeführenden kann eine weitergehende Prüfung der Ausführungen in der Beschwerde unterbleiben, da diese an der vorgenommenen Würdigung des Sachverhalts nichts zu ändern vermögen. Die Vorinstanz hat demnach die Asylgesuche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AsylG). Die Beschwerdeführenden verfügen weder über eine fremdenpolizei­liche Aufenthaltsbewilligung noch einen Anspruch auf Erteilung einer solchen. Die Wegweisung wurde demnach zu Recht angeordnet (Art. 44 AsylG; vgl. BVGE 2009/50 E. 9 S. 733 mit weiteren Hinweisen).</w:t>
      </w:r>
    </w:p>
    <w:p>
      <w:r>
        <w:rPr>
          <w:b/>
        </w:rPr>
        <w:t>E. 8.1</w:t>
      </w:r>
    </w:p>
    <w:p>
      <w:r>
        <w:t>Ist der Vollzug der Wegweisung nicht zulässig, nicht zumutbar oder nicht möglich, so regelt das Bundesamt das Anwesenheitsverhältnis nach den gesetzlichen Bestimmungen über die vorläufige Aufnahme von Ausländern (Art. 44 AsylG; Art. 83 Abs. 1 Ausländergesetz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mit weiteren Hinweisen).</w:t>
      </w:r>
    </w:p>
    <w:p>
      <w:r>
        <w:rPr>
          <w:b/>
        </w:rPr>
        <w:t>E. 8.3</w:t>
      </w:r>
    </w:p>
    <w:p>
      <w:r>
        <w:t>Die Beschwerdeführenden rügen in Bezug auf die Durchführbarkeit des Vollzugs eine Verletzung der Begründungspflicht. Namentlich sei in diesem Zusammenhang von der Vorinstanz die aktuelle Lage in Ägyptern nicht berücksichtigt worden. Zudem sei die Beschwerdeführende 2 psychisch stark angeschlagen und dement. Auch dazu äussere sich die die angefochtene Verfügung nicht. Es ist daher vorweg zu prüfen, ob das BFM den Untersuchungsgrundsatz verletzt hat respektive seiner Begründungspflicht nicht nachgekommen ist.</w:t>
      </w:r>
    </w:p>
    <w:p>
      <w:r>
        <w:rPr>
          <w:b/>
        </w:rPr>
        <w:t>E. 8.3.1</w:t>
      </w:r>
    </w:p>
    <w:p>
      <w:r>
        <w:t>Der Untersuchungsgrundsatz gehört zu den allgemeinen Grund­sätzen des Asylverfahrens (Art. 12 VwVG i.V.m. Art. 6 AsylG). Demnach hat die Behörde von Amtes wegen für die richtige und vollständige Abklärung des rechtserheblichen Sachverhaltes zu sorgen. Dieser Grundsatz gilt indes nicht uneingeschränkt; er findet seine Grenzen an der Mitwirkungspflicht des Asylsuchenden (Art. 8 AsylG).</w:t>
      </w:r>
    </w:p>
    <w:p>
      <w:r>
        <w:rPr>
          <w:b/>
        </w:rPr>
        <w:t>E. 8.3.2</w:t>
      </w:r>
    </w:p>
    <w:p>
      <w:r>
        <w:t>Gemäss Art. 29 VwVG haben die Parteien Anspruch auf rechtliches Gehör (vgl. auch Art. 29 Abs. 2 BV). Mit dem Gehörsanspruch korreliert die Pflicht der Behörde, dass sie die Vorbringen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und BVGE 2009/35 E. 6.4.1, je mit Hinweisen).</w:t>
      </w:r>
    </w:p>
    <w:p>
      <w:r>
        <w:rPr>
          <w:b/>
        </w:rPr>
        <w:t>E. 8.3.3</w:t>
      </w:r>
    </w:p>
    <w:p>
      <w:r>
        <w:t>Es trifft zwar zu, dass aus der Begründung der angefochtenen Verfügung (mangels entsprechender konkreter Ausführungen) nicht klar ersichtlich wird, ob beziehungsweise wie sich das BFM mit der allgemeinen Lage (und insbesondere der Situation der Kopten) in Ägypten auseinandergesetzt hat. Allerdings ist grundsätzlich davon auszugehen, dass das BFM mit seinen Länderspezialisten die aktuelle Situation in Ägypten laufend überprüft und beurteilt. Wie in E. 8.4 und 8.5 nachfolgend aufgezeigt, kommt das Bundesverwaltungsgericht diesbezüglich denn auch zu keinem anderen Schluss als das BFM. In gesundheitlicher Hinsicht brachte der Beschwerdeführende 1 vor, er leide an (...) und müsse deshalb Medikamente einnehmen; sonst gehe es ihm aber gut. Dazu äussert sich die angefochtene Verfügung in der Tat nicht. Demgegenüber fanden die von der Beschwerdeführenden 2 geltend gemachten gesundheitlichen Probleme Eingang in den Sachverhalt der angefochtenen Verfügung. Die Beschwerdeführende 2 hatte diesbezüglich im vorinstanzlichen Verfahren namentlich erklärt, sie habe sich vor (...) Jahren einer (...) unterzogen. Es gehe ihr gesundheitlich sehr schlecht. Sie müsse viele Medikamente einnehmen, leide an (...) - diesbezüglich wurde eine Bescheinigung eines (...) eingereicht - und (...), auch als Folge der Übergriffe der Islamisten in C._______. Sie werde von ihrer Tochter G._______ und ihrem Sohn F._______ betreut. Dass sich in der angefochtenen Verfügung im Zusammenhang mit dem Vollzug der Wegweisung keine Erwägungen betreffend die von den Beschwerdeführenden geltend gemachten gesundheitlichen Probleme vorfinden, vermag noch keine Verletzung der anzuwendenden bundesrechtlichen Bestimmungen zu bewirken. So erklärte der Beschwerdeführende 1 - wie erwähnt - anlässlich der Erstbefragung, dass es ihm trotz (...) gut gehe. Die gesundheitlichen Probleme der Beschwerdeführenden 2 bestanden bereits vor der Ausreise aus ihrem Heimatstaat. Aus den Akten sind keine Hinweise darauf zu entnehmen, dass sich ihr Gesundheitszustand seither verschlechtert hätte. Die Beschwerdeführende 2 erklärte diesbezüglich im Rahmen ihrer Anhörung vom (...) 2014, sie nehme in der Schweiz dieselben Medikamente ein, welche sie in ihrer Heimat benützt habe. Unter diesen Umständen bestand für die Vorinstanz keine zwingende Veranlassung, auf die gesundheitlichen Probleme der Beschwerdeführenden näher einzugehen. Im Übrigen ist die Wegweisung (und deren Vollzug) die gesetzliche Folge bei einem negativen Asylentscheid und bedarf in der Regel nicht der gleichen Begründungsdichte wie der Entscheid in der Hauptfrage des Asyls (vgl. EMARK 1994 Nr. 3 E. 4c). Abgesehen davon war es den Beschwerdeführenden trotz der knappen vorinstanzlichen Begründung möglich, den Entscheid sachgerecht anzufechten. Es kann somit weder eine Verletzung des Untersuchungsgrundsatzes noch der Begründungspflicht durch das BFM festgestellt werden. Der Eventualantrag auf Rückweisung des Verfahrens zur Neubeurteilung an die Vorinstanz ist deshalb abzuweisen.</w:t>
      </w:r>
    </w:p>
    <w:p>
      <w:r>
        <w:rPr>
          <w:b/>
        </w:rPr>
        <w:t>E. 8.4</w:t>
      </w:r>
    </w:p>
    <w:p>
      <w:r>
        <w:t>Der Vollzug ist nicht zulässig, wenn völkerrechtliche Verpflichtungen der Schweiz einer Weiterreise der Ausländerin oder des Ausländers in den Heimat-, Herkunfts- oder in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des Abkommens vom 28. Juli 1951 über die Rechtsstellung der Flüchtlinge [FK; SR 0.142.30]). Dieses flüchtlingsrechtliche Rückschiebungsverbot schützt nur Personen, die die Flüchtlingseigenschaft im Sinne von Art. 3 AsylG respektive Art. 1A FK erfüllen.</w:t>
      </w:r>
    </w:p>
    <w:p>
      <w:r>
        <w:rPr>
          <w:b/>
        </w:rPr>
        <w:t>E. 8.4.1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Ägypten ist demnach unter dem Aspekt von Art. 5 AsylG rechtmässig. Sodann ergeben sich weder aus den Aussagen der Beschwerdeführen­den noch aus den Akten Anhaltspunkte dafür, dass sie für den Fall einer Ausschaffung nach Ägypten dort mit beachtlicher Wahrscheinlichkeit einer nach Art. 3 EMRK oder Art. 1 des Übereinkommens vom 10. Dezem­ber 1984 gegen Folter und andere grausame, unmenschliche oder erniedrigende Behandlung oder Strafe (FoK, SR 0.105)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mit weiteren Hinweisen). Diese Voraussetzungen sind nicht erfüllt. Auch die allgemeine Menschenrechtssituation in Ägypten lässt den Wegweisungsvollzug zum heutigen Zeitpunkt - entgegen dem sinngemässen Beschwerdevorbringen - nicht als unzulässig erscheinen.</w:t>
      </w:r>
    </w:p>
    <w:p>
      <w:r>
        <w:rPr>
          <w:b/>
        </w:rPr>
        <w:t>E. 8.4.2</w:t>
      </w:r>
    </w:p>
    <w:p>
      <w:r>
        <w:t>Nach dem Gesagten ist der Vollzug der Wegweisung sowohl im Sinne der asyl- als auch der völkerrechtlichen Bestimmungen zulässig (Art. 83 Abs. 3 AuG).</w:t>
      </w:r>
    </w:p>
    <w:p>
      <w:r>
        <w:rPr>
          <w:b/>
        </w:rPr>
        <w:t>E. 8.5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Art. 83 Abs. 4 AuG stellt eine Kodifizierung der bisherigen Praxis zur konkreten Gefährdung nach Art. 14a Abs. 4 des aufgehobenen Bundesgesetzes vom 26. März 1931 über Aufenthalt und Niederlassung der Ausländer (ANAG, BS 1 121) dar (vgl. PETER BOLZLI, in: Spescha et. al., Kommentar Migrationsrecht, 3. Aufl. 2012, Nr. 15 zu Art. 83 AuG). Dieser Praxis zufolge wird aus humanitären Gründen, nicht in Erfüllung völkerrechtlicher Pflichten der Schweiz, auf den Vollzug der Wegweisung verzichtet, wenn die Rückkehr in den Heimatstaat für die betroffene Person eine konkrete Gefährdung darstellt. Konkret gefährdet sind Personen, wenn sie im Heimat- oder Herkunftsstaat aufgrund von Situationen wie Krieg, Bürgerkrieg, allgemeiner Gewalt oder infolge persönlicher Gründe wirtschaftlicher, sozialer oder gesundheitlicher Art in eine existenzielle Notlage geraten, beispielsweise weil sie dort die notwendige medizinische Versorgung nicht erhalten könnten oder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2009/52 E. 10.1 S. 756 f., 2009/51 E. 5.5 S. 748, 2009/28 E. 9.3.1 S. 367).</w:t>
      </w:r>
    </w:p>
    <w:p>
      <w:r>
        <w:rPr>
          <w:b/>
        </w:rPr>
        <w:t>E. 8.5.1</w:t>
      </w:r>
    </w:p>
    <w:p>
      <w:r>
        <w:t>In Ägypten herrscht keine Situation allgemeiner Gewalt, weshalb in konstanter Praxis von der generellen Zumutbarkeit des Wegweisungsvollzugs dorthin ausgegangen wird (vgl. Urteile des BVGer [...]).</w:t>
      </w:r>
    </w:p>
    <w:p>
      <w:r>
        <w:rPr>
          <w:b/>
        </w:rPr>
        <w:t>E. 8.5.2</w:t>
      </w:r>
    </w:p>
    <w:p>
      <w:r>
        <w:t>Die Beschwerdeführenden sind eigenen Angaben zufolge Mitglieder der Glaubensgemeinschaft der koptischen Christen, der in Ägypten etwa neun Millionen Menschen respektive ungefähr 10 % der Gesamtbevölkerung angehören. Nach dem Sturz des ehemaligen Präsidenten Mohammed Mursi von der Muslimbruderschaft am 3. Juli 2013 und insbesondere auch nach der mit einem grossen Blutbad verbundenen gewaltsamen Räumung von zwei Pro-Mursi-Protestlagern in Kairo am 14. August 2013 durch ägyptische Sicherheitskräfte, bei der es zur Tötung von Hunderten von Mursi-Anhängern gekommen war, kam es auch zu einer Gewaltwelle gegenüber Christen und christlichen Einrichtungen. Grund hierfür dürfte vorab der Umstand gewesen sein, dass der Führer der koptischen Kirche, Papst Tawadros II., den Putsch noch am Tage seiner Verkündung durch General Abd al-Fattah as-Sisi, dem heutigen Präsidenten Ägyptens, öffentlich befürwortete, was die Kopten in der Folge aus Sicht der Muslimbruderschaft dem Vorwurf aussetzte, den Sturz von Mohammed Mursi ebenfalls gutgeheissen zu haben. Entsprechend ging auch der Grossteil der Übergriffe gegenüber Christen von radikalen Anhängern der Muslimbrüder aus. Gleichzeitig gingen die staatlichen Sicherheitskräfte in der Folge massiv gegen Anhänger dieser Organisation vor. So erklärte am 23. September 2013 ein Gericht in Kairo die Muslimbruderschaft und alle Ableger der Organisation für illegal und beschloss die Konfiszierung ihrer Vermögenswerte, was am 6. November 2013 von einem Berufungsgericht bestätigt wurde. Im Weiteren wurden in mehreren Massenprozessen zahlreiche Islamisten, darunter auch führende Mitglieder der Muslimbruderschaft, zum Tode verurteilt. Aus heutiger Sicht liegt die Folgerung nahe, dass die Muslimbruderschaft als Organisation mittlerweile weitgehend aufgerieben worden ist.</w:t>
      </w:r>
    </w:p>
    <w:p>
      <w:r>
        <w:rPr>
          <w:b/>
        </w:rPr>
        <w:t>E. 8.5.3</w:t>
      </w:r>
    </w:p>
    <w:p>
      <w:r>
        <w:t>In den Akten finden sich auch keine konkreten Anhaltspunkte dafür, dass die Beschwerdeführenden aus individuellen Gründen wirtschaftlicher, sozialer oder gesundheitlicher Natur in eine existenzbedrohende Situation geraten würden. Der Beschwerdeführende 1 absolvierte (...). In der Folge übte er verschiedene berufliche Tätigkeiten, (...), aus. Ab dem Jahr (...) bis zur Ausreise arbeitete er als (...). Nebst seiner arabischen Muttersprache verfügt er über (...). Die Beschwerdeführende 2 besuchte während (...) Jahren die (...) und arbeitete als (...). Mehrere Verwandte der Beschwerdeführenden wohnen nach wie vor in Ägypten (...). Im Übrigen wird mit Urteil des Bundesverwaltungsgerichts gleichen Datums die Beschwerde des Sohnes F._______ der Beschwerdeführenden abgewiesen, während die Beschwerde ihrer Tochter G._______ bereits mit Urteil des BVGer (...) abgewiesen worden ist. Unter diesen Umständen ist der Vollzug der Wegweisung auch in Berücksichtigung der von den Beschwerdeführenden geltend gemachten gesundheitlichen Problemen als zumutbar zu erachten.</w:t>
      </w:r>
    </w:p>
    <w:p>
      <w:r>
        <w:rPr>
          <w:b/>
        </w:rPr>
        <w:t>E. 8.6</w:t>
      </w:r>
    </w:p>
    <w:p>
      <w:r>
        <w:t>Schliesslich obliegt es den Beschwerdeführenden, welche im Besitz von (...) sind, sich bei der zuständigen Vertretung ihres Heimatstaates allfällige weitere für eine Rückkehr notwendigen Reisedokumente zu beschaffen (Art. 8 Abs. 4 AsylG; vgl. BVGE 2008/34 E. 12 S. 513 ff.). Mithin ist der Vollzug der Wegweisung auch als möglich zu bezeichnen (Art. 83 Abs. 2 AuG).</w:t>
      </w:r>
    </w:p>
    <w:p>
      <w:r>
        <w:rPr>
          <w:b/>
        </w:rPr>
        <w:t>E. 8.7</w:t>
      </w:r>
    </w:p>
    <w:p>
      <w:r>
        <w:t>Insgesamt hat das Bundesamt den Vollzug der Wegweisung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Sie sind durch den am 27. Juni 2014 einbezahlten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