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D-3380/2018 vom 26. Juli 2018</w:t>
      </w:r>
    </w:p>
    <w:p>
      <w:r>
        <w:t>Bundesverwaltungsgericht, 2018-07-26, FR</w:t>
      </w:r>
    </w:p>
    <w:p>
      <w:r>
        <w:rPr>
          <w:b/>
        </w:rPr>
        <w:t xml:space="preserve">Quelle: </w:t>
      </w:r>
      <w:r>
        <w:t>https://mcp.opencaselaw.ch/entscheid/bvger_D-3380_2018</w:t>
      </w:r>
    </w:p>
    <w:p>
      <w:r>
        <w:t>FR: TAF D-3380/2018 du 26 juillet 2018</w:t>
      </w:r>
    </w:p>
    <w:p>
      <w:r>
        <w:t>IT: TAF D-3380/2018 del 26 luglio 2018</w:t>
      </w:r>
    </w:p>
    <w:p>
      <w:pPr>
        <w:pStyle w:val="Heading2"/>
      </w:pPr>
      <w:r>
        <w:t>Regeste</w:t>
      </w:r>
    </w:p>
    <w:p>
      <w:r>
        <w:t>Asile (sans exécution du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L'intéressée a qualité pour recourir (cf. art. 48 al. 1 PA). Présenté dans la forme (cf. art. 52 al. 1 PA) et le délai (cf. art. 108 al. 1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5.2-5.6).</w:t>
      </w:r>
    </w:p>
    <w:p>
      <w:r>
        <w:rPr>
          <w:b/>
        </w:rPr>
        <w:t>E. 2.2</w:t>
      </w:r>
    </w:p>
    <w:p>
      <w:r>
        <w:t>Sont notamment considérées comme de sérieux préjudices la mise en danger de la vie, de l'intégrité corporelle ou de la liberté, de même que les mesures qui entraînent une pression psychique insupportable (art. 3 al. 2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 2008/12 consid. 5.1 p. 154).</w:t>
      </w:r>
    </w:p>
    <w:p>
      <w:r>
        <w:rPr>
          <w:b/>
        </w:rPr>
        <w:t>E. 3.1</w:t>
      </w:r>
    </w:p>
    <w:p>
      <w:r>
        <w:t>En l'occurrence, la crainte de persécution de l'intéressée liée à la désertion de ses enfants n'est pas fondée, pour les motifs suivants.</w:t>
      </w:r>
    </w:p>
    <w:p>
      <w:r>
        <w:rPr>
          <w:b/>
        </w:rPr>
        <w:t>E. 3.2</w:t>
      </w:r>
    </w:p>
    <w:p>
      <w:r>
        <w:t>D'abord, si elle avait représenté un quelconque intérêt pour les autorités, elle aurait rencontré des problèmes dès son arrivée en Erythrée, en 2004, ne serait-ce que la confiscation de son passeport, et n'aurait pas pu quitter ce pays, trois jours après sa libération, grâce à ce document. Ensuite, elle n'aurait pas été libérée, après trois jours de détention sans mauvais traitement, grâce au paiement d'une somme d'argent à un militaire par son oncle. Enfin, son passeport a été renouvelé sans difficulté connue, la dernière fois le 9 juin 2015. Que les démarches à cette fin aient pu être entreprises par ses employeurs n'y change rien. Elle n'aurait pas obtenu la prolongation de son passeport, si elle avait été considérée comme une personne indésirable.</w:t>
      </w:r>
    </w:p>
    <w:p>
      <w:r>
        <w:rPr>
          <w:b/>
        </w:rPr>
        <w:t>E. 3.3</w:t>
      </w:r>
    </w:p>
    <w:p>
      <w:r>
        <w:t>Au vu de ce qui précède, les rapports des organisations internationales cités à l'appui du recours, faisant état des problèmes auxquels les membres de famille de déserteurs peuvent être confrontés, n'ont pas de valeur probante, faute de concerner l'intéressée personnellement.</w:t>
      </w:r>
    </w:p>
    <w:p>
      <w:r>
        <w:rPr>
          <w:b/>
        </w:rPr>
        <w:t>E. 3.4</w:t>
      </w:r>
    </w:p>
    <w:p>
      <w:r>
        <w:t>S'agissant des déclarations écrites de son fils, résidant à D._______, et de sa mère, en Erythrée, elles ne sont pas déterminantes, déjà en raison du risque de collusion entre leurs auteurs et l'intéressée. Elles ne constituent en outre et en tout état de cause pas des documents susceptibles d'établir à satisfaction de droit une crainte de persécution, étant précisé que l'intéressée n'a jamais allégué avoir exercé des activités politiques d'opposition, ni avoir rencontré d'autres problèmes que sa détention de trois jours, non suivie de mauvais traitements, avec les autorités de son pays (cf pv. du 9 septembre 2016, pt. 7.02, p. 7).</w:t>
      </w:r>
    </w:p>
    <w:p>
      <w:r>
        <w:rPr>
          <w:b/>
        </w:rPr>
        <w:t>E. 3.5</w:t>
      </w:r>
    </w:p>
    <w:p>
      <w:r>
        <w:t>En conclusion, le Tribunal ne peut retenir que l'intéressée, qui n'a jamais eu d'engagement politique par le passé, ni subi de sérieux préjudices antérieurs à son départ d'Erythrée, en 2004, et qui n'était pas recherchée à ce moment-là, soit selon toute vraisemblance et dans un proche avenir, exposée à un risque de persécution dans son pays d'origine.</w:t>
      </w:r>
    </w:p>
    <w:p>
      <w:r>
        <w:rPr>
          <w:b/>
        </w:rPr>
        <w:t>E. 4</w:t>
      </w:r>
    </w:p>
    <w:p>
      <w:r>
        <w:t>Il s'ensuit que le recours, en tant qu'il conteste le refus de l'asile, doit être rejeté.</w:t>
      </w:r>
    </w:p>
    <w:p>
      <w:r>
        <w:rPr>
          <w:b/>
        </w:rPr>
        <w:t>E. 5</w:t>
      </w:r>
    </w:p>
    <w:p>
      <w:r>
        <w:t>Lorsqu'il rejette la demande d'asile ou qu'il refuse d'entrer en matière à ce sujet, le SEM prononce, en règle générale, le renvoi de Suisse et en ordonne l'exécution;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qu'il fait l'objet d'une décision d'extradition ou d'une décision de renvoi conformément à l'art. 121 al. 2 Cst. (RS 101).</w:t>
      </w:r>
    </w:p>
    <w:p>
      <w:r>
        <w:rPr>
          <w:b/>
        </w:rPr>
        <w:t>E. 6</w:t>
      </w:r>
    </w:p>
    <w:p>
      <w:r>
        <w:t>Aucune exception à la règle générale du renvoi n'étant en l'occurrence réalisée, le Tribunal est tenu, de par la loi, de confirmer cette mesure.</w:t>
      </w:r>
    </w:p>
    <w:p>
      <w:r>
        <w:rPr>
          <w:b/>
        </w:rPr>
        <w:t>E. 7</w:t>
      </w:r>
    </w:p>
    <w:p>
      <w:r>
        <w:t>S'avérant manifestement infondé, il est rejeté dans une procédure à juge unique, avec l'approbation d'un second juge (cf. art. 111 let. e LAsi).</w:t>
      </w:r>
    </w:p>
    <w:p>
      <w:r>
        <w:rPr>
          <w:b/>
        </w:rPr>
        <w:t>E. 8</w:t>
      </w:r>
    </w:p>
    <w:p>
      <w:r>
        <w:t>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