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D-337/2020 vom 10. Juni 2020</w:t>
      </w:r>
    </w:p>
    <w:p>
      <w:r>
        <w:t>Bundesverwaltungsgericht, 2020-06-10, DE</w:t>
      </w:r>
    </w:p>
    <w:p>
      <w:r>
        <w:rPr>
          <w:b/>
        </w:rPr>
        <w:t xml:space="preserve">Quelle: </w:t>
      </w:r>
      <w:r>
        <w:t>https://mcp.opencaselaw.ch/entscheid/bvger_D-337_2020</w:t>
      </w:r>
    </w:p>
    <w:p>
      <w:r>
        <w:t>FR: TAF D-337/2020 du 10 juin 2020</w:t>
      </w:r>
    </w:p>
    <w:p>
      <w:r>
        <w:t>IT: TAF D-337/2020 del 10 giugno 2020</w:t>
      </w:r>
    </w:p>
    <w:p>
      <w:pPr>
        <w:pStyle w:val="Heading2"/>
      </w:pPr>
      <w:r>
        <w:t>Regeste</w:t>
      </w:r>
    </w:p>
    <w:p>
      <w:r>
        <w:t>Wegweisung und Wegweisungsvollzug (Beschwerde gegen Wiedererwägungsentscheid)</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1.2</w:t>
      </w:r>
    </w:p>
    <w:p>
      <w:r>
        <w:t>Gemäss Art. 31 VGG ist das Bundesverwaltungsgericht zur Beurteilung von Beschwerden gegen Verfügungen nach Art. 5 VwVG zuständig und entscheidet auf dem Gebiet des Asyls in der Regel - und auch vorliegend - endgültig (Art. 83 Bst. d Ziff. 1 BGG; Art. 105 AsylG).</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Bereich des Ausländerrechts nach Art. 49 VwVG (vgl. BVGE 2014/26 E. 5).</w:t>
      </w:r>
    </w:p>
    <w:p>
      <w:r>
        <w:rPr>
          <w:b/>
        </w:rPr>
        <w:t>E. 3</w:t>
      </w:r>
    </w:p>
    <w:p>
      <w:r>
        <w:t>Gestützt auf Art. 111a Abs. 1 AsylG wurde vorliegend auf die Durchführung eines Schriftenwechsels verzichtet.</w:t>
      </w:r>
    </w:p>
    <w:p>
      <w:r>
        <w:rPr>
          <w:b/>
        </w:rPr>
        <w:t>E. 4</w:t>
      </w:r>
    </w:p>
    <w:p>
      <w:r>
        <w:t>Das Wiedererwägungsverfahren ist im Asylrecht spezialgesetzlich geregelt (vgl. Art. 111b aArt. 1 AsylG). Ein entsprechendes Gesuch ist dem SEM innert 30 Tagen nach Entdeckung des Wiedererwägungsgrundes schriftlich und begründet einzureichen. In seiner praktisch relevantesten Form bezweckt das Wiedererwägungsgesuch die Anpassung einer ursprünglich fehlerfreien Verfügung an eine nachträglich eingetretene erhebliche Veränderung der Sachlage (vgl. BVGE 2014/39 E. 4.5 m.w.H.). Falls die abzuändernde Verfügung unangefochten blieb oder ein eingeleitetes Beschwerdeverfahren mit einem blossen Prozessentscheid abgeschlossen wurde, können auch Revisionsgrün-de einen Anspruch auf Wiedererwägung begründen (zum sog. «qualifizierten Wiedererwägungsgesuch» vgl. BVGE 2013/22 E. 5.4 m.w.H.). Darüber hinaus sind Revisionsgründe, welche sich auf Beweismittel abstützen, welche erst nach Abschluss eines Beschwerdeverfahrens entstanden sind, stets unter dem Titel der Wiedererwägung bei der Vorinstanz einzubringen, da solche neu entstandenen Beweismittel keine Grundlage für ein Revisionsverfahren vor dem Bundesverwaltungsgericht darstellen können (Art. 45 VGG i.V.m. Art. 123 Abs. 2 Bst. a [letzter Satz] BGG; vgl. BVGE 2013/22).</w:t>
      </w:r>
    </w:p>
    <w:p>
      <w:r>
        <w:rPr>
          <w:b/>
        </w:rPr>
        <w:t>E. 5</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2014/26 E. 7.7.4 und 2011/24 E. 10.2 m.w.H.).</w:t>
      </w:r>
    </w:p>
    <w:p>
      <w:r>
        <w:rPr>
          <w:b/>
        </w:rPr>
        <w:t>E. 6.1</w:t>
      </w:r>
    </w:p>
    <w:p>
      <w:r>
        <w:t>Der Vollzug der Wegweisung kann nach Art. 83 Abs. 4 AIG unzumutbar sein, wenn der Ausländer oder die Ausländerin im Heimat- oder Herkunftsstaat auf Grund von Situationen wie Krieg, Bürgerkrieg, allgemeiner Gewalt und medizinischer Notlage konkret gefährdet ist.</w:t>
      </w:r>
    </w:p>
    <w:p>
      <w:r>
        <w:rPr>
          <w:b/>
        </w:rPr>
        <w:t>E. 6.2</w:t>
      </w:r>
    </w:p>
    <w:p>
      <w:r>
        <w:t>Bezüglich der allgemeinen Lage in Afghanistan hat das Bundesverwaltungsgericht nach eingehender Lageanalyse in dem als Referenzurteil publizierten Entscheid D-5800/2016 vom 13. Oktober 2017 festgestellt, seit dem letzten Länderurteil des Bundesverwaltungsgerichts im Jahr 2011 (vgl. BVGE 2011/7) ergebe sich eine deutliche Verschlechterung der Sicherheitslage über alle Regionen hinweg und es bestünden derart schwierige humanitäre Bedingungen in weiten Teilen Afghanistans, dass die Situation als existenzbedrohend im Sinne von Art. 83 Abs. 4 AIG zu qualifizieren sei. Der Wegweisungsvollzug sei deshalb als unzumutbar zu beurteilen. Von dieser allgemeinen Feststellung könne im Falle der Hauptstadt G._______ abgewichen werden, falls besonders begünstigende Faktoren gegeben seien. Würden solche besonders begünstigenden Faktoren vorliegen, was insbesondere bei alleinstehenden, gesunden Männern mit einem tragfähigen Beziehungsnetz, einer Möglichkeit zur Sicherung des Existenzminimums und einer gesicherten Wohnsituation der Fall sei, sei der Wegweisungsvollzug als zumutbar zu qualifizieren (vgl. Referenzurteil des BVGer D-5800/2016 vom 13. Oktober 2017 E. 8.4). Es ist nicht zu verkennen, dass im Zusammenhang mit den Parlamentswahlen im Oktober 2018 die Gewalt - auch in G._______ - zugenommen hat, was periodisch immer wieder geschieht, indes an der dargelegten Rechtsprechung nichts zu ändern vermag (vgl. Urteil des BVGer E-6293/2018 vom 24. April 2019 E.4.4)</w:t>
      </w:r>
    </w:p>
    <w:p>
      <w:r>
        <w:rPr>
          <w:b/>
        </w:rPr>
        <w:t>E. 6.3</w:t>
      </w:r>
    </w:p>
    <w:p>
      <w:r>
        <w:t>Das Argument, der Beschwerdeführer verfüge über kein tragfähiges Beziehungsnetz in G._______, weil seine Familienangehörigen (D._______ sowie B._______ mit H._______ und [...] wie auch die Familie seines M.______ mütterlicherseits) Afghanistan zwischenzeitlich verlassen hätten und im F._______ leben würden, wurde erstmals im Rahmen des ordentlichen Asylverfahrens geltend gemacht und dementsprechend in der Verfügung der Vorinstanz vom 16. Oktober 2017 behandelt (vgl. ebenda Ziff. II Seite 5). Die Vorinstanz bezweifelte, dass der Beschwerdeführer in Bezug auf seine Familienverhältnisse wahrheitsgetreue Angaben gemacht habe. Die neu - das heisst nach diesem Entscheid - entstandenen Beweismittel, welche der Beschwerdeführer im vorinstanzlichen Wiedererwägungsverfahren wie auch auf Beschwerdeebene (im Original) einreichte, sind nicht geeignet zu belegen, dass seine Familienangehörigen seit (...) in J.______ leben. Vorab ist festzuhalten, dass sich die Vorbringen des Beschwerdeführers und die zur Untermauerung eingereichten Dokumente ausschliesslich auf seine D._______ und seine B._______ samt deren H._______ und [...] beschränken. Im Unterschied zum Asylverfahren, in welchem der Beschwerdeführer vorgebracht hatte - allerdings nicht glaubhaft zu machen vermochte - dass sein M.______ mütterlicherseits G._______ ebenfalls verlassen habe und zusammen mit seiner D._______ und B._______ im F._______ lebe (vgl. SEM act. A12 F54), macht er solches vorliegend nicht mehr geltend. Auch dem auf Beschwerdeebene eingereichten (undatierten) Schreiben der D._______ ist solches nicht zu entnehmen. Es ist folglich davon auszugehen, dass jedenfalls dieser M.______, den der Beschwerdeführer in der Anhörung mehrfach erwähnt hatte (vgl. SEM act. A12 F31, 34 f., 37, 43, 50, 56, 60 f.) und zu welchem er offensichtlich eine enge Beziehung hat, nach wie vor in G._______ lebt und den Beschwerdeführer bei einer Rückkehr bei einer Wiedereingliederung unterstützen wird. Sodann sind die eingereichten Beweismittel nicht geeignet, einen Wohn-ortswechsel der weiteren Familienangehörigen in den F._______ glaubhaft zu machen. Dabei fällt zum einen auf, dass das Schreiben der D._______ - in welchem diese bestätigt, dass sie zusammen mit ihrer N.______ und deren O._______ und [...] im F._______ lebe, nicht datiert ist. Erstaunlicherweise enthalten auch die aufgeführten Bestätigungen der drei Zeugen und des (...) des afghanischen Einwanderungsrates keine Datumsangabe, weshalb beträchtliche Zweifel an der Echtheit des Dokuments angebracht sind. Jedenfalls der (...) des afghanischen Einwanderungsrates dürfte im Ausstellen von Bestätigungen geübt sein und es ist nicht davon auszugehen, dass er eine Datumsangabe vergessen würde. Ohne eine Datumsangabe vermag der Beschwerdeführer auch inhaltlich zum vornherein nichts aus dem Schreiben seiner D._______ abzuleiten. Betreffend die Schulbestätigungen der beiden (...) des Beschwerdeführers ist festzuhalten, dass darin der Schulleiter und sein Stellvertreter am (...) das Zeugnis und den Notenspiegel für das «Schuljahr (...)» und gleichzeitig die im Juni ([...]) erfolgte Versetzung in die nächste Klasse unterschriftlich bestätigen. Es ist nicht nachvollziehbar, weshalb ein «Zeugnis und Notenspiegel» (Bezeichnung des fraglichen Dokuments) erst nach bereits erfolgter Versetzung in die nächst höhere Klasse ausgestellt werden sollte. Der Beschwerdeführer hat auch keinerlei Angaben gemacht, weshalb er diese am (...) ausgestellten Dokumente oder andere Schuldokumente seiner (...) erst im Januar (...) (in Scan-Kopie) beziehungsweise im Februar (...)(im Original) und nicht bereits zu einem wesentlich früheren Zeitpunkt eingereicht hat, zumal er offensichtlich bereits im Zeitpunkt der Einreichung seines Wiedererwägungsgesuchs mit seiner D._______ und B._______ in Kontakt stand und seine (...) den zwei dort eingereichten Referenzschreiben für Bildungsförderung zufolge auch für die Schuljahre (...) und (...) registriert waren. Nachdem sich der Beschwerdeführer mit der angefochtenen Verfügung nicht weiter auseinandersetzt, ist den zutreffenden vorinstanzlichen Erwägungen ohne weiteren Begründungsaufwand beizupflichten, dass weder die vorinstanzlichen Vorbringen und Beweismittel des Beschwerdeführers noch die auf Beschwerdeebene eingereichten Dokumente geeignet sind, das angeblich fehlende Beziehungsnetz, namentlich in G._______, aufzuzeigen. Die Durchführung einer Botschaftsanfrage erübrigt sich aufgrund des Gesagten, zumal damit allenfalls ein gegenwärtiger, nicht aber ein dauerhafter Aufenthalt der D._______ und/oder der B._______ mit Familie im F._______ und auch nicht ein fehlendes Beziehungsnetz des Beschwerdeführers in G._______ (insbesondere M.______ mütterlicherseits) eruiert werden kann. Der entsprechende Antrag ist abzuweisen.</w:t>
      </w:r>
    </w:p>
    <w:p>
      <w:r>
        <w:rPr>
          <w:b/>
        </w:rPr>
        <w:t>E. 6.4</w:t>
      </w:r>
    </w:p>
    <w:p>
      <w:r>
        <w:t>Es bleiben im Rahmen einer Gesamtwürdigung die vorgebrachten gesundheitlichen Beeinträchtigungen im Lichte des Referenzurteils des Bundesverwaltungsgerichts D-5800/2016 vom 13. Oktober 2017 zu prüfen.</w:t>
      </w:r>
    </w:p>
    <w:p>
      <w:r>
        <w:rPr>
          <w:b/>
        </w:rPr>
        <w:t>E. 6.4.1</w:t>
      </w:r>
    </w:p>
    <w:p>
      <w:r>
        <w:t>Auf Beschwerdeebene führte der Beschwerdeführer aus, dass all die erlittenen Ungerechtigkeiten, die unsichere Zukunft, die mehrmalige Flucht in verschiedene Orte und Länder sowie die an ihm ausgeübten groben, körperlichen Verletzungen tiefe psychische Spuren hinterlassen hätten. Sein Hausarzt habe ihn an eine Psychiaterin überwiesen. Diese führt in ihrem Kurzbericht vom (...) aus, den Beschwerdeführer seit dem (...) regelmässig zu behandeln. Sowohl in den ersten Sitzungen als auch heute würden sehr stark ausgeprägte (...) (wiederkehrendes, quälend ins Bewusstsein drängendes Wiedererinnern und Wiedererleben von traumatischen Ereignissen, Anmerkung BVGer), (...) (besonders heftige Form der Intrusion, Anmerkung BVGer), Ein- und Durchschlafstörungen, Alpträume, Ängste sowie somatische Störungen im Vordergrund stehen. Aus psychiatrischer Sicht sei sein Gesundheitszustand nach wie vor instabil, weshalb sich die Psychotherapie sehr schwierig gestalte. Auch seine medikamentöse Einstellung gestalte sich sehr schwierig, da er bei vielen Medikamenten mit massiven Nebenwirkungen reagiere oder die Medikamente keine Wirkung zeigen würden. Aufgrund einer (...) sei er notfallmässig am (...) in den UPD hospitalisiert worden. Auf eigenen Wunsch sei er am (...) ausgetreten, da er die Situation in der geschlossenen Station nicht ausgehalten habe. Zum Zeitpunkt des Austritts habe er sich glaubhaft von der (...) distanzieren können. Aus fachlicher Sicht sei es dringend notwendig, dass der Beschwerdeführer zur Erhaltung seiner psychischen Gesundheit sowie Stabilität und auch um einer Chronifizierung (Übergang von der vor-übergehenden zur dauerhaften [chronischen] Präsenz einer Erkrankung oder eines Symptoms, insbesondere von Schmerzen, Anmerkung BVGer) entgegen zu wirken, einer regelmässigen Beschäftigung nachgehe. Die Absage für eine Anstellung bei einem Supermarkt habe erneut zu massiver psychischer Dekompensation (Entgleisung, Anmerkung BVGer) mit Tag-Nacht Rhythmusumkehr geführt. Das Gleiche habe sich auch nach der Ablehnung des Wiedererwägungsgesuchs vom 23. Dezember 2019 ergeben, weshalb zur Vermeidung einer starken Verschlechterung seines psychischen Zustandsbildes die Medikamente erneut umgestellt worden seien. Bei der letzten Konsultation am (...) habe sich der Beschwerdeführer bezüglich der (...) absprachefähig gezeigt (vgl. ärztlicher Kurzbericht vom [...]). Aus dem Austrittsbericht der UPD vom (...) geht hervor, dass beim Eintritt des Beschwerdeführers ein deutlich depressives Syndrom mit Hoffnungslosigkeit, Interessenverlust, Antriebslosigkeit, reduzierte Psychomotorik und (...) imponiert hätten. Unter der Medikation und den psychotherapeutischen Massnahmen habe sich sein Zustand gebessert und er sei von akuter (...) klar distanziert. Auf seinen Wunsch sei die Entlassung in die vorbestehenden Verhältnisse erfolgt. Zum Zeitpunkt des Austritts hätten keine Hinweise auf eine akute Selbst- oder Fremdgefährdung bestanden (vgl. Austrittsbericht des UPD vom [...]).</w:t>
      </w:r>
    </w:p>
    <w:p>
      <w:r>
        <w:rPr>
          <w:b/>
        </w:rPr>
        <w:t>E. 6.4.2</w:t>
      </w:r>
    </w:p>
    <w:p>
      <w:r>
        <w:t>Diesen ärztlichen Berichten zufolge ist davon auszugehen, dass der abschlägige Entscheid betreffend Wiedererwägung ein wesentlicher aufrechterhaltener Faktor für die Depression des Beschwerdeführers ist. Diese Annahme wird durch den Umstand gestützt, dass im ordentlichen Asylverfahren der Gesundheitsfaktor als Vollzugshindernis - abgesehen von einer Beinverletzung - kein Thema war (vgl. Verfügung des SEM vom 16. Oktober 2017, Ziff. III Seite 6). Die Wiedervereinigung des Beschwerdeführers mit seiner Familie dürfte somit positive Auswirkungen auf den Gesundheitszustand des Beschwerdeführers haben, zumal die Unsicherheit über seinen Asylstatus mit vorliegendem Urteil beseitigt wird. Der Beschwerdeführer - der sich einerseits sowohl gemäss Austrittsbericht vom (...) als auch im Kurzbericht vom (...) statuiert glaubhaft von der (...) distanziert hat und andererseits anfangs November (...) im Rahmen von vier Schnuppertagen in einem Lebensmittelgeschäft gearbeitet und dabei offenkundig gute Arbeit geleistet hat (vgl. ärztlicher Kurzbericht S. 2) - benötigt derzeit offenbar nur noch eine Gesprächstherapie und Medikamente gegen Ängste und Schlafstörungen. Mit Hilfe der Therapeutin kann er sich sodann gezielt auf die Rückkehr vorbereiten. Zudem kann er bei Bedarf medizinische Rückkehrhilfe in Anspruch nehmen (Art. 93 Abs. 1 Bst. d AsylG i.V.m. Art. 75 der Asylverordnung 2 vom 11. August 1999 [AsylV 2, SR 142.312]). Nach dem Gesagten ist im Rahmen einer Gesamtwürdigung davon auszugehen, dass eine Rückkehr des Beschwerdeführers nach G._______ in den Kreis seiner Familie (vgl. E. 6.3) zu einer Verbesserung seines Gesundheitszustandes führen wird. Sollte der Beschwerdeführer nach seiner Rückkehr noch psychiatrische Unterstützung benötigen, besteht in G._______ gemäss der Länderanalyse der SFH (Schweizerische Flüchtlingshilfe, Afghanistan: Psychiatrische und psychotherapeutische Behandlung vom 5. April 2017) die Möglichkeit, sich an zwei staatlichen Spitälern psychiatrisch behandeln zu lassen. Überdies kommt vorliegend auch die Behandlung in einer von mehreren privaten Einrichtungen (wie beispielsweise J._______ Hospital und K._______ Hospital, welche ebenfalls eine begrenzte Kapazität psychiatrischer, psychotherapeutischer und suchttherapeutischer Behandlungen anbieten) in Betracht (vgl. Urteil des BVGer E-6293/2018 vom 24. April 2019 E. 4.6.2).</w:t>
      </w:r>
    </w:p>
    <w:p>
      <w:r>
        <w:rPr>
          <w:b/>
        </w:rPr>
        <w:t>E. 6.4.3</w:t>
      </w:r>
    </w:p>
    <w:p>
      <w:r>
        <w:t>Im Falle einer (zwangsweisen) Rückführung ist dem Umstand der fragilen Gesundheitssituation des Beschwerdeführers in angemessener Weise Rechnung zu tragen, indem geeignete medizinische Massnahmen getroffen werden und eine adäquate Betreuung (beispielsweise durch medizinisches Fachpersonal) sichergestellt wird.</w:t>
      </w:r>
    </w:p>
    <w:p>
      <w:r>
        <w:rPr>
          <w:b/>
        </w:rPr>
        <w:t>E. 6.5</w:t>
      </w:r>
    </w:p>
    <w:p>
      <w:r>
        <w:t>In Bestätigung der angefochtenen Verfügung liegen in Würdigung der gesamten Umstände auch aus heutiger Sicht besonders begünstigende Faktoren im Sinne der Rechtsprechung (vgl. Referenzurteil des BVGer D-5800/2016 vom 13. Oktober 2017) vor, womit der Vollzug der Wegweisung nach Kabul als zumutbar zu qualifizieren ist.</w:t>
      </w:r>
    </w:p>
    <w:p>
      <w:r>
        <w:rPr>
          <w:b/>
        </w:rPr>
        <w:t>E. 6.6</w:t>
      </w:r>
    </w:p>
    <w:p>
      <w:r>
        <w:t>Zusammenfassend ergibt sich, dass es dem Beschwerdeführer auch im vorliegenden Verfahren nicht gelungen ist, den Wegweisungsvollzug nach Kabul als unzumutbar erkennen zu lassen. Eine Anordnung der vorläufigen Aufnahme fällt somit ausser Betracht (Art. 83 Abs. 1-4 AIG).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Der am 20. Januar 2020 verfügte Vollzugsstopp fällt mit vorliegendem Urteil dahin.</w:t>
      </w:r>
    </w:p>
    <w:p>
      <w:r>
        <w:rPr>
          <w:b/>
        </w:rPr>
        <w:t>E. 9.1</w:t>
      </w:r>
    </w:p>
    <w:p>
      <w:r>
        <w:t>Mit dem Entscheid in der Hauptsache ist der Antrag, es sei auf die Erhebung eines Kostenvorschusses zu verzichten, gegenstandslos geworden.</w:t>
      </w:r>
    </w:p>
    <w:p>
      <w:r>
        <w:rPr>
          <w:b/>
        </w:rPr>
        <w:t>E. 9.2</w:t>
      </w:r>
    </w:p>
    <w:p>
      <w:r>
        <w:t>Bei diesem Ausgang des Verfahrens wären die Kosten dem Beschwerdeführer aufzuerlegen (Art. 63 Abs. 1 VwVG; Art. 1-3 des Reglements vom 21. Februar 2008 über die Kosten und Entschädigungen vor dem Bundesverwaltungsgericht [VGKE, SR 173.320.2]). Da die Rechtsbegehren jedoch nicht als aussichtslos zu betrachten waren und aufgrund der Akten von der Bedürftigkeit des Beschwerdeführers auszugehen ist, ist das mit der Beschwerde gestellte Gesuch um Gewährung der unentgeltlichen Prozessführung im Sinne von Art. 65 Abs. 1 VwVG gutzuheissen.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