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D-3372/2014 vom 28. Januar 2015</w:t>
      </w:r>
    </w:p>
    <w:p>
      <w:r>
        <w:t>Bundesverwaltungsgericht, 2015-01-28, DE</w:t>
      </w:r>
    </w:p>
    <w:p>
      <w:r>
        <w:rPr>
          <w:b/>
        </w:rPr>
        <w:t xml:space="preserve">Quelle: </w:t>
      </w:r>
      <w:r>
        <w:t>https://mcp.opencaselaw.ch/entscheid/bvger_D-3372_2014</w:t>
      </w:r>
    </w:p>
    <w:p>
      <w:r>
        <w:t>FR: TAF D-3372/2014 du 28 janvier 2015</w:t>
      </w:r>
    </w:p>
    <w:p>
      <w:r>
        <w:t>IT: TAF D-3372/2014 del 28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unter den in der Instruktionsverfügung vom 25. Juni 2014 gemachen Vorbehalten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Der Antrag, eine eventuell bereits erfolgte Weiter­ga­be von Perso­nendaten (im Sinne von Art. 97 Abs. 3 Bstn. a-g AsylG) sei offenzulegen, erweist sich aufgrund der Aktenlage als gegenstandslos.</w:t>
      </w:r>
    </w:p>
    <w:p>
      <w:r>
        <w:rPr>
          <w:b/>
        </w:rPr>
        <w:t>E. 4</w:t>
      </w:r>
    </w:p>
    <w:p>
      <w:r>
        <w:t>Zum Vorwurf der Beschwerdeführerin, nicht in ihrer Muttersprache ange­hört worden zu sein, ist festzuhalten, dass sie anlässlich der Anhörung an­gab, den Dolmetscher sehr gut zu verstehen (A 13/13 S. 1). Am Schluss bestätigte sie unterschriftlich die Vollständigkeit und Korrektheit des Protokolls. Die Hilfswerkvertretung notierte auf ihrem Beiblatt keine Beo­bachtungen für allfällige Verständigungsprobleme. Entsprechend muss sich die Beschwerdeführerin bei ihren Aussagen behaften lassen. Eine erneute Anhörung beziehungsweise eine Rückweisung der Sache an das BFM zu einer solchen kommt mithin nicht in Betracht.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BFM hat die Glaubhaftigkeit der Vorbringen der Beschwerdeführe­rin nicht in Zweifel gezogen, aber deren Asylrelevanz ver­neint. Diese Einschätzung ist zu bestätigen. So hat die Beschwerdeführe­rin lediglich im Rahmen eines niederschwelligen Profils an Protestkundgebungen teilgenommen. Dass sie deswegen gezielt - etwa im Sinne der Einleitung eines Verfahrens - verfolgt worden wäre, machte sie im erstinstanzlichen Verfahren nicht geltend. Ihr Beschwerdevor­bringen, durch die syrischen Sicherheitskräfte gesucht wor­den zu sein und deswegen Haft und Folter gewärtigen zu müssen, er­scheinen als nachgeschoben und mithin unglaubhaft. Eine asylrelevante Re­flexverfolgung insbesondere wegen des Bruders D._______ ist entgegen den Be­schwerdevorbringen nicht beachtlich wahrscheinlich. So befindet sich die­ser Bruder offenbar seit 2009 in Haft und die Beschwerdeführerin war in der Lage, sich bis Sommer 2013 an der Universität auszubilden und im­mer wieder Kontrollen zu passieren, ohne dass sie gemäss ihren Anga­ben dort oder auch zuhause seinetwegen gezielt und asylrelevant behel­ligt worden wäre. Solche Behelligungen im Sinne einer begründeten Furcht wären im Falle ihrer Rückkehr auch im aktuellen Zeitpunkt und der geltend gemachten Veränderungen der Lage vor Ort nicht konkret er­sichtlich. Das Beschwerdevorbringen, wonach sie sich vor der Flucht nur aufgrund des Tragens arabischer Kleidung einem behördlichen Zugriff habe entziehen können, erscheint mithin als blosses Konstrukt. Ihre übri­gen Vorbringen - rechtlo­ses Dasein als Kurdin, Verhaftung von Studieren­den, prekäre Sicherheits­lage, Tod eines Mitstreiters von E._______ - sind vom BFM zurecht als ebenfalls nicht ernst­haften Nachteile beziehungs­weise als Ausdruck der generellen Lage vor Ort qualifiziert wor­den. Stichhaltige Beschwerdeargumente für eine andere Sichtweise feh­len. Die eingereichten Beweismittel - darunter mehrere im Zusammen­hang mit dem inhaftierten D._______ - beziehen sich auf unbestrittene Sachverhalts­elemente und rechtfertigen keine andere Fallbeurteilung.</w:t>
      </w:r>
    </w:p>
    <w:p>
      <w:r>
        <w:rPr>
          <w:b/>
        </w:rPr>
        <w:t>E. 6.2</w:t>
      </w:r>
    </w:p>
    <w:p>
      <w:r>
        <w:t>Unter Berücksichtigung der gesamten Umstände folgt, dass die Be­schwerdeführerin keine Gründe nach Art. 3 AsylG nachweisen oder glaubhaft machen konnte. Die Vorinstanz hat die Flüchtlingseigen­schaft zu Recht verneint und das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8.2</w:t>
      </w:r>
    </w:p>
    <w:p>
      <w:r>
        <w:t>Die Beschwerdeführerin wurde vom BFM mit Entscheid vom 21. Mai 2014 wegen Unzumutbarkeit des Wegweisungsvollzuges vorläufig in der Schweiz aufgenommen. Ausführungen zum Vollzug der Wegweisung erübri­gen sich demnach.</w:t>
      </w:r>
    </w:p>
    <w:p>
      <w:r>
        <w:rPr>
          <w:b/>
        </w:rPr>
        <w:t>E. 9</w:t>
      </w:r>
    </w:p>
    <w:p>
      <w:r>
        <w:t>Aus diesen Erwägungen ergibt sich, dass die angefochtene Verfügung Bun­desrecht nicht verletzt und den rechtserheblichen Sachverhalt richtig so­wie vollständig feststellt (Art. 106 Abs. 1 AsylG). Die Beschwerde ist ab­zuweisen, soweit darauf einzutreten war.</w:t>
      </w:r>
    </w:p>
    <w:p>
      <w:r>
        <w:rPr>
          <w:b/>
        </w:rPr>
        <w:t>E. 10.1</w:t>
      </w:r>
    </w:p>
    <w:p>
      <w:r>
        <w:t>Bei diesem Ausgang des Verfahrens wären die Kosten der Beschwer­de­füh­rerin aufzuerlegen (Art. 63 Abs. 1 VwVG). Nachdem ihr Ge­such im Sinne von Art. 65 Abs. 1 VwVG mit Zwischenverfügung vom 25. Juni 2014 gutgeheissen wurde und sich ihre finanzielle Situation seit­her nicht ent­scheidwesentlich verändert hat, erfolgt keine Kostenauf­lage.</w:t>
      </w:r>
    </w:p>
    <w:p>
      <w:r>
        <w:rPr>
          <w:b/>
        </w:rPr>
        <w:t>E. 10.2</w:t>
      </w:r>
    </w:p>
    <w:p>
      <w:r>
        <w:t>Mit Zwischenverfügung vom 11. Juli 2014 wurde ausserdem das Ge­such um amtliche Verbeiständung gutgeheissen (Art. 110a Abs. 1 VwVG) und der Beschwerdeführerin der Rechtsvertreter als Rechtsbeistand zu­geord­net. Der in der Kostennote ausgewiesene Betrag von Fr. 1'431.-erscheint als angemessen. Unter Berücksichti­gung der relevanten Bemessungsfaktoren (Art. 9-13 VGKE [SR 173.320.2]) ist ihm demnach eine Ent­schädigung in der Höhe von Fr. 1'431.- (inkl. Auslagen und Mehrwertsteueran­teil)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