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D-3370/2011 vom 21. Juni 2012</w:t>
      </w:r>
    </w:p>
    <w:p>
      <w:r>
        <w:t>Bundesverwaltungsgericht, 2012-06-21, DE</w:t>
      </w:r>
    </w:p>
    <w:p>
      <w:r>
        <w:rPr>
          <w:b/>
        </w:rPr>
        <w:t xml:space="preserve">Quelle: </w:t>
      </w:r>
      <w:r>
        <w:t>https://mcp.opencaselaw.ch/entscheid/bvger_D-3370_2011</w:t>
      </w:r>
    </w:p>
    <w:p>
      <w:r>
        <w:t>FR: TAF D-3370/2011 du 21 juin 2012</w:t>
      </w:r>
    </w:p>
    <w:p>
      <w:r>
        <w:t>IT: TAF D-3370/2011 del 21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Es mag zutreffen, dass die Beschwerdeführerin wegen Verbindungen oder Aktivitäten ihres in die Schweiz geflohenen Vaters zusammen mit ihrer Mutter und ihren Brüdern in einem gewissen Ausmass in den Fokus an sich gewaltbereiter Personen in Sri Lanka geriet. Dass dies bei ihr zu psychischen Beeinträchtigungen führte, ist nachvollziehbar, und es er­scheint nicht als ausgeschlossen, dass sie auch deshalb gewisse Schwierig­keiten bei der zeitlichen Einordnung von Ereignissen bekun­dete. Diese vom BFM festgehaltenen Unstimmigkeiten sind somit an sich nicht überzubewerten und basieren zum Teil auf Aussagen anläss­lich der Befragung durch die Botschaft, wo praxisgemäss keine Hilfswerk­vertretung dabei war. Insgesamt weisen diese Diskrepanzen aber tenden­ziell doch darauf hin, dass die Beschwerdeführerin das Geschilderte zumin­dest im geltend gemachten Ausmass nicht erlebt hat, zumal die Erklä­rungsversuche in der Beschwerde mangels Stichhaltigkeit kaum über­zeugen. Auffallend ist ferner die weitgehende Substanzlosigkeit der Schilderungen angeblich konkreter Vorfälle. So war die Beschwerdeführe­rin beispielsweise nicht in der Lage, das bedrohliche Ereignis bei einer Be­kannten ihrer Mutter vom Frühjahr 2009 lebensecht zu schildern, und er­weckte so nicht den Eindruck von etwas tatsächlich Vorgefallenem (vgl. Akten BFM B 7/10 Antworten 43 ff.). Ungereimt äusserte sie sich ferner zum Empfang der telefonischen Drohungen. So legte sie bei der Summarbefragung dar, diese nicht entgegengenommen zu haben (vgl. B 1/10 S. 7). Demgegenüber hätte sie gemäss den - allerdings auch in sich nicht übereinstimmenden - Schilderungen bei der Anhörung solche Anrufe offenbar doch per­sönlich entgegengenommen. Überdies wirken ihre Angaben zu den tele­fonischen Drohungen unbesehen der Frage, ob sie solche gar nie oder nur selten persönlich entgegengenommen haben soll, wiederum in kei­ner Weise substanziiert (vgl. B 7/10 Antworten 14 ff.). Vor diesem Hinter­grund erstaunt nicht, dass sie kaum Aussagen über die allfällige Herkunft der Bedrohenden machen konnte (vgl. z.B. Botschaftsprotokoll, Ziff. 10.1.). Ausserdem wäre es ihr bei einer tatsächlich ernsthaft drohenden Verfolgung kaum gelungen, über Jahre physisch weitestgehend unbehel­ligt zu bleiben (vgl. a.a.O. Ziff. 10.3; B 7/10 Antwort 33). Eine allfällige staatliche und asylrelevante Verfolgung wirkt im Übrigen auch insofern nicht glaubhaft, als ihr (...) ein Reise­pass ausgestellt wurde und sie das Land in der Folge legal - wenn auch durch Unterstützung der Schweizer Behörden - verlassen konnte. Schliesslich ist darauf hinzuweisen, dass im Verfahren der Mutter und der Brüder der Beschwerdeführerin vom BFM festgehalten wurde, die angebli­che (Reflex-)Verfolgung wegen des Ehemannes respektive Vaters sei nicht glaubhaft. Diese Entscheide sind unangefochten in Rechtskraft er­wachsen. Die geltend gemachte Reflexverfolgung ist entgegen den er­neut nicht überzeugenden Beschwerdevorbringen somit auch in diesem Lichte besehen nicht glaubhaft.</w:t>
      </w:r>
    </w:p>
    <w:p>
      <w:r>
        <w:rPr>
          <w:b/>
        </w:rPr>
        <w:t>E. 4.2</w:t>
      </w:r>
    </w:p>
    <w:p>
      <w:r>
        <w:t>Insgesamt ist daraus zu schliessen, dass die Beschwerdeführerin im Zeit­punkt des Verlassens ihres Heimatlandes im Februar 2010 keinen ge­zielten und intensiven Behelligungen ausgesetzt gewesen ist. An dieser Ein­schätzung vermögen die eingereichten Beweismittel - soweit sie sich überhaupt auf die geltend gemachte Verfolgung beziehen - nichts zu än­dern. So beleuchten etwa das Schreiben des Vaters der Beschwerdeführerin vom 2. März 2009 und ein IKRK-Schreiben vom 12. Februar 2009 die dama­lige Situation aus der Sicht der jeweiligen Verfasser und sind in Anbet­racht der festgestellten Ungereimtheiten in den Vorbringen der Be­schwerdeführerin nicht geeignet, die geltend gemachte und asylrelevante Verfolgung ihrer Person hinlänglich zu belegen. Offenbar erkannte auch das von ihr bereits vor der Ausreise kontaktierte IKRK keinen dringen­den Handlungsbedarf (vgl. Botschaftsprotokoll, Ziff. 11; B 7/10 Antwort 61). Im Weiteren sind ihre gesundheitlichen Probleme unbestritten.</w:t>
      </w:r>
    </w:p>
    <w:p>
      <w:r>
        <w:rPr>
          <w:b/>
        </w:rPr>
        <w:t>E. 5.1</w:t>
      </w:r>
    </w:p>
    <w:p>
      <w:r>
        <w:t>Ferner ist an dieser Stelle auf die sich seit der Ausreise der Beschwer­deführerin weiter stabilisierende Lage in Sri Lanka einzugehen (vgl. BVGE 2011/24). Am 19. Mai 2009 verkündete die Regierung Sri Lankas offiziell den Sieg der Regierungstruppen über die Liberation Tigers of Tamil Eelam (LTTE), und Präsident Rajapakse erklärte den seit 26 Jahren dauernden Krieg für beendet. Das Führungskader der LTTE ist komplett ausgelöscht wor­den.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 die sich für die Men­schenrechte einsetzen oder Verstösse kriti­sieren, Opfer und Zeugen von Menschenrechtsverletzungen sowie Per­sonen, die sol­che Übergriffe bei den Behörden anzeigen, abgewie­sene Asylbewerber mit Verdacht zu Kontakten zu LTTE-Kadern oder Perso­nen, die über be­trächtliche finan­zielle Mittel verfügen (siehe die aus­führliche Darstellung der Personengrup­pen im vorerwähnten Urteil BVGE 2011/24 E. 8).</w:t>
      </w:r>
    </w:p>
    <w:p>
      <w:r>
        <w:rPr>
          <w:b/>
        </w:rPr>
        <w:t>E. 5.2</w:t>
      </w:r>
    </w:p>
    <w:p>
      <w:r>
        <w:t>In Anbetracht der Asylvorbringen ihres Vaters (vgl. dazu den Sachver­halt in BVGE D-3253/2006), (...) wäre nicht ausgeschlossen gewesen, dass auch die Beschwerdeführerin im Sinne einer Reflexverfolgung massiven Druck erlebt hätte. Einen sol­chen vermochte sie nach dem Gesagten indes nicht glaubhaft zu ma­chen. Dass sich das Interesse der srilankischen Behörden an ihrer Per­son seit ihrer Ausreise akzentuiert hätte, erscheint in Anbetracht der gene­rellen Entwicklung vor Ort und ihrer Vorbringen nicht glaubhaft. So ver­fügt sie offensichtlich über kein eigenes politisches Profil und war nie in Haft oder ein Gerichtsverfahren involviert. Auch eine Gefährdung nach der Rückkehr wegen Kontak­ten zu LTTE-Kadern im Ausland liegt insofern nicht auf der Hand, als der Aufenthalt in der Schweiz im Lichte der übri­gen Verfahrensumstände noch kein eigentliches per­sönliches Risikoprofil ausmacht. Schliesslich ist nach der Zerschlagung der LTTE auch eine dies­bezüg­liche Verfolgung nicht beachtlich wahrscheinlich.</w:t>
      </w:r>
    </w:p>
    <w:p>
      <w:r>
        <w:rPr>
          <w:b/>
        </w:rPr>
        <w:t>E. 6</w:t>
      </w:r>
    </w:p>
    <w:p>
      <w:r>
        <w:t>Zusammenfassend ist somit nicht davon auszugehen, dass die Be­schwer­deführerin von den srilankischen Sicher­heits­kräften gesucht wird oder in naher Zu­kunft eine sonstige Verfol­gung zu befürchten hätte. Es muss nicht ange­nommen werden, dass ihr bei einer Rückkehr nach Sri Lanka ernst­hafte Nachteile im Sinne des Asylgesetzes drohen würden. Da­mit erübrigt es sich, auf die diesbezüglichen Ausführungen in der Rechts­mitteleingabe einzuge­hen, weil diese am Ergebnis des vorliegen­den Ver­fahrens nichts zu ändern vermögen.</w:t>
      </w:r>
    </w:p>
    <w:p>
      <w:r>
        <w:rPr>
          <w:b/>
        </w:rPr>
        <w:t>E. 7.1</w:t>
      </w:r>
    </w:p>
    <w:p>
      <w:r>
        <w:t>Ehegatten von Flüchtlingen und ihre minderjährigen Kinder werden als Flüchtlinge anerkannt und erhalten Asyl, sofern keine besonderen Um­stände dagegen sprechen (Art. 51 Abs. 1 AsylG). Andere nahe Angehö­rige von in der Schweiz lebenden Flüchtlingen können in das Famili­en­asyl eingeschlossen werden, wenn besondere Gründe für die Fami­lienverei­nigung sprechen (Ar. 51 Abs. 2 AsylG).</w:t>
      </w:r>
    </w:p>
    <w:p>
      <w:r>
        <w:rPr>
          <w:b/>
        </w:rPr>
        <w:t>E. 7.2</w:t>
      </w:r>
    </w:p>
    <w:p>
      <w:r>
        <w:t>Das BFM hat in der angefochtenen Verfügung keine Erwägungen zu die­sen Gesetzesbestimmungen gemacht. Dies ist jedoch nicht als Verletzung des rechtlichen Gehörs zu werten, wie den nachfolgenden Erwägungen zu entnehmen ist.</w:t>
      </w:r>
    </w:p>
    <w:p>
      <w:r>
        <w:rPr>
          <w:b/>
        </w:rPr>
        <w:t>E. 7.3</w:t>
      </w:r>
    </w:p>
    <w:p>
      <w:r>
        <w:t>Die Beschwerdeführerin bringt in diesem Zusammenhang zwar auf Beschwerdeebene vor, die lange Dauer des Asylverfahrens des Vaters sei nicht ihr anzulasten. Hätte ihn das BFM umgehend als Flüchtling anerkannt, wäre sie im damaligen Zeitpunkt noch minderjährig wie ihre als Flüchtlinge anerkannten Brüder ge­wesen. Die Beschwerdeführerin verkennt in diesem Zusammenhang aber die bereits in EMARK 1996 Nr. 18 festgehaltene Praxis, wonach für den Einbezug minderjähriger Kinder ihr Alter im Zeitpunkt der Einreise in die Schweiz massgeblich ist. Im damaligen Zeitpunkt war sie bereits volljäh­rig, und sie kann sich folglich nicht auf Art. 51 Abs. 1 AsylG beru­fen. Auch eine Fallkonstellation im Sinne von Art. 51 Abs. 2 AsylG ist offensichtlich zu ver­neinen. Zwar ist eine Beziehungsnähe zwischen Mutter und Tochter nicht in Abrede zu stellen. Diese überschreitet jedoch nicht die normale Nähe zwischen Eltern und ihren erwachsenen Kindern. Ein Abhängigkeitsverhältnis im Sinne der Rechtsprechung zu Art. 51 Abs. 2 AsylG kann daraus jedenfalls nicht abgeleitet werden, zumal die junge Beschwerdeführerin ohne weiteres zu einem eigenständigen Leben fähig ist (vgl. EMARK 2001 Nr. 24). Das BFM war angesichts der klar fehlenden Voraussetzungen für einen Einbezug in die Flüchtlingseigenschaft des Vaters nicht gehalten, dazu detaillierte Ausführungen zu machen.</w:t>
      </w:r>
    </w:p>
    <w:p>
      <w:r>
        <w:rPr>
          <w:b/>
        </w:rPr>
        <w:t>E. 8</w:t>
      </w:r>
    </w:p>
    <w:p>
      <w:r>
        <w:t>Nach dem Gesagten hat das BFM das Asylgesuch der Beschwerdeführe­rin zu Recht abgelehnt und ihre Flüchtlingseigenschaft verneint.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9.3</w:t>
      </w:r>
    </w:p>
    <w:p>
      <w:r>
        <w:t>Die Beschwerdeführerin wurde vom BFM in der angefochtenen Verfü­gung wegen Unzumutbarkeit des Wegweisungsvollzugs vorläufig in der Schweiz aufgenommen, weshalb sich weitere Erörterungen erübrigen.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Beschwerdeverfahrens wären dessen Kosten der Beschwerdeführerin aufzuerlegen (Art. 63 Abs. 1 VwVG). Das Bundes­verwaltungsgericht hat jedoch das Gesuch um Gewährung der un­entgeltlichen Prozessführung mit Zwischenverfügung vom 17. Juni 2011 gutgeheissen, und es besteht auf­grund der Akten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