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D-3370/2009 vom 28. Mai 2009</w:t>
      </w:r>
    </w:p>
    <w:p>
      <w:r>
        <w:t>Bundesverwaltungsgericht, 2009-05-28, DE</w:t>
      </w:r>
    </w:p>
    <w:p>
      <w:r>
        <w:rPr>
          <w:b/>
        </w:rPr>
        <w:t xml:space="preserve">Quelle: </w:t>
      </w:r>
      <w:r>
        <w:t>https://mcp.opencaselaw.ch/entscheid/bvger_D-3370_2009</w:t>
      </w:r>
    </w:p>
    <w:p>
      <w:r>
        <w:t>FR: TAF D-3370/2009 du 28 mai 2009</w:t>
      </w:r>
    </w:p>
    <w:p>
      <w:r>
        <w:t>IT: TAF D-3370/2009 del 28 maggio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und Art. 108 Abs. 2 AsylG;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der Prüfung, ob Hinweise auf eine Verfolgung vorliegen, welche geeignet sind, die Flüchtlingseigenschaft zu begründen, ist vom engen Verfolgungsbegriff im Sinne von Art. 3 AsylG auszugehen, wobei darunter auch subjektive Nachfluchtgründe fallen.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Entscheidungen und Mitteilungen der Schweizerischen Asylrekurskommission [EMARK] 2005 Nr. 2 E. 4.3 S. 17).</w:t>
      </w:r>
    </w:p>
    <w:p>
      <w:r>
        <w:rPr>
          <w:b/>
        </w:rPr>
        <w:t>E. 5.1</w:t>
      </w:r>
    </w:p>
    <w:p>
      <w:r>
        <w:t>In der Rechtsmitteleingabe wird zunächst gerügt, die Vorinstanz sei zu Unrecht nicht auf das zweite Asylgesuch des Beschwerdeführers eingetreten. Damit widerspreche sie in offensichtlicher Art und Weise der Rechtsprechung der ARK. Diese habe in EMARK 2006 Nr. 20 festgehalten, dass bei einem zweiten Asylgesuch, in welchem exilpolitische Tätigkeiten nicht bloss in den Raum gestellt, sondern mittels Bildmaterial und anderen Beweismitteln untermauert würden, die Möglichkeit, in Anwendung von Art. 32 Abs. 2 Bst. e AsylG einen Nichteintretensentscheid zu treffen, von vornherein ausser Betracht falle. Das Bundesamt sei in einem solchen Fall verpflichtet, vor dem Entscheid über das erneute Begehren um Feststellung der Flüchtlingseigenschaft im Rahmen eines ordentlichen zweiten Asylverfahrens eine formelle Anhörung gemäss Art. 29 und 30 AsylG mit Teilnahme einer Hilfswerksvertretung durchzuführen. Der Beschwerdeführer habe seine exilpolitischen Tätigkeiten nicht bloss geltend gemacht, sondern umfangreich durch Bild- und Textmaterial dokumentiert. Im Sinne der obgenannten Rechtsprechung falle damit ein Nichteintretensentscheid ausser Betracht.</w:t>
      </w:r>
    </w:p>
    <w:p>
      <w:r>
        <w:rPr>
          <w:b/>
        </w:rPr>
        <w:t>E. 5.2</w:t>
      </w:r>
    </w:p>
    <w:p>
      <w:r>
        <w:t>Gemäss Art. 36 Abs. 1 Bst. b AsylG findet in den Fällen nach Art. 32 Abs. 2 Bst. e AsylG eine Anhörung im Sinne der Art. 29 und 30 AsylG statt, wenn die asylsuchende Person aus ihrem Heimat- oder Herkunftsstaat in die Schweiz zurückgekehrt ist. In den übrigen Fällen wird ihr das rechtliche Gehör gewährt (vgl. Art. 36 Abs. 2 AsylG). Entfällt in diesen Fällen indessen die Möglichkeit, einen Nichteintretensentscheid zu treffen, ist das Bundesamt verpflichtet, im Rahmen des neuen ordentlichen Asylverfahrens eine Anhörung gemäss Art. 29 f. AsylG durchzuführen (vgl. EMARK 2006 Nr. 20 E. 3.1 S. 214 f.).</w:t>
      </w:r>
    </w:p>
    <w:p>
      <w:r>
        <w:rPr>
          <w:b/>
        </w:rPr>
        <w:t>E. 5.3</w:t>
      </w:r>
    </w:p>
    <w:p>
      <w:r>
        <w:t>Für den vorliegenden Fall ist festzustellen, dass sich der Beschwerdeführer den Akten zufolge zwischen dem Abschluss des früheren Asylverfahrens und der Einreichung des vorliegenden Asylgesuchs nicht in seinem Heimatstaat aufgehalten hat. Somit hätte für das BFM keine Veranlassung bestanden, im Anschluss an die Einreichung des zweiten Asylgesuchs eine Anhörung durchzuführen, wenn die Voraussetzungen für das Fällen eines Nichteintretensentscheids in Anwendung von Art. 32 Abs. 2 Bst. e AsylG gegeben gewesen wären.</w:t>
      </w:r>
    </w:p>
    <w:p>
      <w:r>
        <w:rPr>
          <w:b/>
        </w:rPr>
        <w:t>E. 5.4</w:t>
      </w:r>
    </w:p>
    <w:p>
      <w:r>
        <w:t>Gemäss der durch die ehemalige ARK begründeten Rechtsprechung (wie in der Beschwerdeschrift erwähnt: EMARK 2006 Nr. 20), welcher sich das Bundesverwaltungsgericht anschliesst, fällt die Möglichkeit, in Anwendung von Art. 32 Abs. 2 Bst. e AsylG einen Nichteintretensentscheid zu treffen, indessen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Weiter wurde im genannten Entscheid festgehalten, das Ausbleiben einer Anhörung gemäss Art. 29 und 30 AsylG könne nicht durch die im Rechtsmittelverfahren genutzten Argumentationsmöglichkeiten "kompensiert" und damit als unerheblich betrachtet werden. Es dürfe davon ausgegangen werden, dass sich die erforderliche Anhörung naturgemäss gerade (auch) auf die Frage nach dem Exponierungsgrad und der genauen Tragweite der Aktivitäten des Beschwerdeführers bezogen hätte (vgl. a.a.O., E. 3.1 S. 214 f.). Diese Argumentation ist auch auf den vorliegend zu beurteilenden Fall anwendbar. Die zentrale Frage, ob den exilpolitischen Aktivitäten des Beschwerdeführers eine eigenständige Bedeutung zuzumessen ist und welcher Exponierungsgrad konkret dadurch erreicht wurde, bedarf einer vertieften Abklärung, welche eine Anhörung des Beschwerdeführers erfordert und sich nicht mit einem Nichteintretensentscheid nach Art. 32 Abs. 2 Bst. e AsylG vereinbaren lässt. Dies jedenfalls in Fällen wie dem vorliegenden, in welchem neue Beweismittel eingereicht wurden.</w:t>
      </w:r>
    </w:p>
    <w:p>
      <w:r>
        <w:rPr>
          <w:b/>
        </w:rPr>
        <w:t>E. 5.5</w:t>
      </w:r>
    </w:p>
    <w:p>
      <w:r>
        <w:t>Es ist zu bemerken, dass das BFM dem Beschwerdeführer im zweiten Asylverfahren entgegen der in EMARK 2006 Nr. 20 festgehaltenen Rechtsprechung lediglich das rechtliche Gehör im Sinne von Art. 36 Abs. 2 AsylG gewährte, obwohl sich aufgrund der geltend gemachten subjektiven Nachfluchtgründe die Durchführung einer asylrechtlichen Anhörung gemäss Art. 29 und Art. 30 AsylG aufgedrängt hätte.</w:t>
      </w:r>
    </w:p>
    <w:p>
      <w:r>
        <w:rPr>
          <w:b/>
        </w:rPr>
        <w:t>E. 5.6</w:t>
      </w:r>
    </w:p>
    <w:p>
      <w:r>
        <w:t>Nach dem Gesagten ist festzuhalten, dass der ungerechtfertigte Verzicht des Bundesamtes auf eine vorgängige Anhörung einer Verletzung des Anspruchs auf rechtliches Gehör gleichkommt (vgl. Art. 29 Abs. 2 der Bundesverfassung der Schweizerischen Eidgenossenschaft vom 18. April 1999 [BV, SR 101] und Art. 30 Abs. 1 VwVG i.V.m. Art. 6 AsylG). Eine Verletzung des Anspruchs auf rechtliches Gehör führt grundsätzlich zur Aufhebung des angefochtenen Hoheitsakts ohne Rücksicht darauf, ob Letzterer bei korrekter Gewährung des rechtlichen Gehörs anders ausgefallen wäre, zumal eine solche Betrachtungsweise dem formellen Charakter des Gehörsanspruches widerspräche (vgl. EMARK 1999 Nr. 20 S. 131; 1998 Nr. 34 E. 10d S. 292 f.; Ulrich Häfelin/Georg Müller/Felix Uhlmann, Allgemeines Verwaltungsrecht, 5. Aufl., Zürich/Basel/Genf 2006, Rz. 1709).</w:t>
      </w:r>
    </w:p>
    <w:p>
      <w:r>
        <w:rPr>
          <w:b/>
        </w:rPr>
        <w:t>E. 5.7</w:t>
      </w:r>
    </w:p>
    <w:p>
      <w:r>
        <w:t>Angesichts dieser Umstände ergibt sich, dass das BFM Bundesrecht verletzt hat, indem es zu Unrecht von einer Anhörung des Beschwerdeführers abgesehen hat und auf das Asylgesuch nicht eingetreten ist. Demzufolge ist die Beschwerde im Sinne der Erwägungen gutzuheissen, die angefochtene Verfügung vom 15. Mai 2009 aufzuheben und die Sache zur Neubeurteilung an die Vorinstanz zurückzuweisen. Das BFM ist aufzufordern, dem Beschwerdeführer im Sinne der obigen Erwägungen zu den im zweiten Asylgesuch geltend gemachten subjektiven Nachfluchtgründen mittels Durchführung einer Anhörung das rechtliche Gehör zu gewähren. Bei dieser Sachlage erübrigen sich Ausführungen zu den weiteren Vorbringen in der Beschwerdeschrift.</w:t>
      </w:r>
    </w:p>
    <w:p>
      <w:r>
        <w:rPr>
          <w:b/>
        </w:rPr>
        <w:t>E. 6.1</w:t>
      </w:r>
    </w:p>
    <w:p>
      <w:r>
        <w:t>Bei diesem Ausgang des Beschwerdeverfahrens sind keine Kosten aufzuerlegen (Art. 63 Abs. 1 VwVG). Die Gesuche des Beschwerdeführers um Gewährung der unentgeltlichen Rechtspflege im Sinne von Art. 65 Abs. 1 VwVG sowie um Verzicht auf die Erhebung eines Kostenvorschusses sind damit als gegenstandslos zu betrachten.</w:t>
      </w:r>
    </w:p>
    <w:p>
      <w:r>
        <w:rPr>
          <w:b/>
        </w:rPr>
        <w:t>E. 6.2</w:t>
      </w:r>
    </w:p>
    <w:p>
      <w:r>
        <w:t>Dem rechtlich vertretenen Beschwerdeführer ist angesichts seines Obsiegens zulasten der Vorinstanz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Aufgrund der Akten können die Vertretungskosten vorliegend zuverlässig abgeschätzt werden und sind unter Berücksichtigung der massgebenden Berechnungsfaktoren (Art. 9-11 und 13 VGKE) auf Fr. 800.-- (inkl. MWST und Auslagen) festzusetzen, weshalb auf die Einforderung einer Kostennote verzichtet werden kann (vgl. Art. 14 Abs. 2 in fine VGKE).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