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D-3368/2015 vom 1. Juni 2015</w:t>
      </w:r>
    </w:p>
    <w:p>
      <w:r>
        <w:t>Bundesverwaltungsgericht, 2015-06-01, DE</w:t>
      </w:r>
    </w:p>
    <w:p>
      <w:r>
        <w:rPr>
          <w:b/>
        </w:rPr>
        <w:t xml:space="preserve">Quelle: </w:t>
      </w:r>
      <w:r>
        <w:t>https://mcp.opencaselaw.ch/entscheid/bvger_D-3368_2015</w:t>
      </w:r>
    </w:p>
    <w:p>
      <w:r>
        <w:t>FR: TAF D-3368/2015 du 1 juin 2015</w:t>
      </w:r>
    </w:p>
    <w:p>
      <w:r>
        <w:t>IT: TAF D-3368/2015 del 1 giugno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Aus den Aussagen der Beschwerdeführenden sowie einem Abgleich der Fingerabdrücke mit der «Eurodac»-Datenbank ergab sich, dass jene am 9. Oktober 2014 in Deutschland ein Asylgesuch eingereicht hatten. In der Folge stimmten die deutschen Behörden einem Wiederaufnahmeersuchen zu (vgl. Sachverhalt Bst. B). Die grundsätzliche Zuständigkeit Deutschlands ist somit gegeben. 5.1 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5.2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5.3 Unter diesen Umständen ist die Anwendung von Art. 3 Abs. 2 Dublin-III-VO nicht gerechtfertigt.</w:t>
      </w:r>
    </w:p>
    <w:p>
      <w:r>
        <w:rPr>
          <w:b/>
        </w:rPr>
        <w:t>E. 6.1</w:t>
      </w:r>
    </w:p>
    <w:p>
      <w:r>
        <w:t>Die Beschwerdeführenden fordern mit ihrem Vorbringen implizit die Anwendung der Ermessensklausel von Art. 17 Abs. 1 Dublin-III-VO, was zum Selbsteintritt der Schweiz und zur Beurteilung des Antrags auf internationalen Schutz durch dieses Land führen würde.</w:t>
      </w:r>
    </w:p>
    <w:p>
      <w:r>
        <w:rPr>
          <w:b/>
        </w:rPr>
        <w:t>E. 6.2</w:t>
      </w:r>
    </w:p>
    <w:p>
      <w:r>
        <w:t>Die Beschwerdeführenden machen geltend, ihr Asylgesuch sei in Deutschland abgelehnt worden. Allerdings liegen keine Hinweise dafür vor, dass die Behandlung ihres Asylgesuchs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der Beschwerdeführenden nach Deutschland gemäss Akten nicht zu einer Kettenabschiebung, welche gegen das Non-Refoulement-Prinzip verstossen würde, wie es in Art. 33 FK verankert ist (und sich ausserdem aus Art. 4 der EU-Grundrechtecharta, Art. 3 EMRK oder Art. 3 FoK ableiten lässt). Die Beschwerdeführenden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deutschen Behörden wenden und die ihnen zustehenden Aufnahmebedingungen auf dem Rechtsweg einfordern (vgl. Art. 26 Aufnahmerichtlinie).</w:t>
      </w:r>
    </w:p>
    <w:p>
      <w:r>
        <w:rPr>
          <w:b/>
        </w:rPr>
        <w:t>E. 6.3</w:t>
      </w:r>
    </w:p>
    <w:p>
      <w:r>
        <w:t>Die Beschwerdeführenden berufen sich darauf, ihr Gesundheitszustand stehe einer Überstellung entgegen. So machen sie auf Beschwerde­ebene geltend, der Beschwerdeführer A._______ leide an (Erkrankung) und habe grosse Schmerzen.</w:t>
      </w:r>
    </w:p>
    <w:p>
      <w:r>
        <w:rPr>
          <w:b/>
        </w:rPr>
        <w:t>E. 6.4</w:t>
      </w:r>
    </w:p>
    <w:p>
      <w:r>
        <w:t>Damit machen die Beschwerdeführenden implizit geltend, die Überstellung nach Deutschland setze sie einer Gefahr für ihre Gesundheit aus und verletze damit Art. 3 EMRK. Allerdings ist unter Hinweis auf die Ausführungen in der angefochtenen Verfügung festzuhalten,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Deutschland den Beschwerdeführenden eine adäquate medizinische Behandlung verweigern würde. So befinden sich in den vorinstanzlichen Akten diverse ärztliche Unterlagen, woraus eine Behandlung ersichtlich ist. Die schweizerischen Behörden, die mit dem Vollzug der angefochten Verfügung beauftragt sind, werden - worauf bereits in der angefochtenen Verfügung hingewiesen wurde - den medizinischen Umständen bei der Bestimmung der konkreten Modalitäten der Überstellung der Beschwerdeführenden Rechnung tragen und die deutschen Behörden vorgängig in geeigneter Weise über die spezifischen medizinischen Umstände informieren (vgl. Art. 31 f. Dublin-III-VO).</w:t>
      </w:r>
    </w:p>
    <w:p>
      <w:r>
        <w:rPr>
          <w:b/>
        </w:rPr>
        <w:t>E. 7.1</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7.2</w:t>
      </w:r>
    </w:p>
    <w:p>
      <w:r>
        <w:t>Somit bleibt Deutschland der für die Behandlung der Asylgesuche der Beschwerdeführenden zuständige Mitgliedstaat gemäss Dublin-III-VO.</w:t>
      </w:r>
    </w:p>
    <w:p>
      <w:r>
        <w:rPr>
          <w:b/>
        </w:rPr>
        <w:t>E. 8</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Deutschland in Anwendung von Art. 44 AsylG ebenfalls zu Recht angeordnet (Art. 32 Bst. a der Asylverordnung 1 vom 11. August 1999 [AsylV 1, SR 142.311]).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w:t>
      </w:r>
    </w:p>
    <w:p>
      <w:r>
        <w:t>Nach dem Gesagten ist die Beschwerde abzuweisen und die Verfügung des SEM zu bestätigen.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