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D-3363/2021 vom 29. Juli 2025</w:t>
      </w:r>
    </w:p>
    <w:p>
      <w:r>
        <w:t>Bundesverwaltungsgericht, 2025-07-29, FR</w:t>
      </w:r>
    </w:p>
    <w:p>
      <w:r>
        <w:rPr>
          <w:b/>
        </w:rPr>
        <w:t xml:space="preserve">Quelle: </w:t>
      </w:r>
      <w:r>
        <w:t>https://mcp.opencaselaw.ch/entscheid/bvger_D-3363_2021</w:t>
      </w:r>
    </w:p>
    <w:p>
      <w:r>
        <w:t>FR: TAF D-3363/2021 du 29 juillet 2025</w:t>
      </w:r>
    </w:p>
    <w:p>
      <w:r>
        <w:t>IT: TAF D-3363/2021 del 29 luglio 2025</w:t>
      </w:r>
    </w:p>
    <w:p>
      <w:pPr>
        <w:pStyle w:val="Heading2"/>
      </w:pPr>
      <w:r>
        <w:t>Regeste</w:t>
      </w:r>
    </w:p>
    <w:p>
      <w:r>
        <w:t>Asile (sans 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procédure devant le Tribunal est régie par la PA, la LTAF et la LTF, pour autant que la LAsi n’en dispose pas autrement (art. 37 LTAF et art. 6 LAsi).</w:t>
      </w:r>
    </w:p>
    <w:p>
      <w:r>
        <w:t>D-3363/2021 Page 4</w:t>
      </w:r>
    </w:p>
    <w:p>
      <w:r>
        <w:rPr>
          <w:b/>
        </w:rPr>
        <w:t>E. 1.3</w:t>
      </w:r>
    </w:p>
    <w:p>
      <w:r>
        <w:t>L’intéressé a qualité pour recourir (art. 48 al. 1 PA, applicable par renvoi de l’art. 37 LTAF). Présenté dans la forme (art. 52 al. 1 PA, applicable par renvoi de l’art. 6 LAsi) et le délai (art. 108 al. 2 LAsi) prescrits par la loi, le recours est recevable.</w:t>
      </w:r>
    </w:p>
    <w:p>
      <w:r>
        <w:rPr>
          <w:b/>
        </w:rPr>
        <w:t>E. 1.4</w:t>
      </w:r>
    </w:p>
    <w:p>
      <w:r>
        <w:t>Le Tribunal applique le droit d'office, sans être lié par les motifs invoqués dans le recours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2.1</w:t>
      </w:r>
    </w:p>
    <w:p>
      <w:r>
        <w:t>En vertu de l’art. 2 al. 1 LAsi, la Suisse accorde l’asile aux réfugiés sur demande, conformément aux dispositions de la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w:t>
      </w:r>
    </w:p>
    <w:p>
      <w:r>
        <w:t>D-3363/2021 Page 5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à savoir le groupe le plus important au sein de la coalition des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w:t>
      </w:r>
    </w:p>
    <w:p>
      <w:r>
        <w:rPr>
          <w:b/>
        </w:rPr>
        <w:t>E. 3.2</w:t>
      </w:r>
    </w:p>
    <w:p>
      <w:r>
        <w:t>Lors de l’examen de la qualité de réfugié, la situation du requérant, au moment du départ de son pays d’origine, est en principe prise en compte. Toutefois, selon la doctrine et la jurisprudence, lorsque la situation dans ce pays s’est ensuite modifiée de manière significative, en faveur ou au détriment du requérant, il est tenu compte de la situation existant au moment de la décision sur la demande d’asile (cf. ATAF 2011/51 consid. 6.1 et réf. cit.).</w:t>
      </w:r>
    </w:p>
    <w:p>
      <w:r>
        <w:rPr>
          <w:b/>
        </w:rPr>
        <w:t>E. 3.3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w:t>
      </w:r>
    </w:p>
    <w:p>
      <w:r>
        <w:t>D-3363/2021 Page 6</w:t>
      </w:r>
    </w:p>
    <w:p>
      <w:r>
        <w:rPr>
          <w:b/>
        </w:rPr>
        <w:t>E. 3.4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en instance de recours, mais devant le SEM. Il y a donc lieu d’annuler la décision attaquée. Il appartiendra au SEM de procéder à une appréciation en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w:t>
      </w:r>
    </w:p>
    <w:p>
      <w:r>
        <w:rPr>
          <w:b/>
        </w:rPr>
        <w:t>E. 4</w:t>
      </w:r>
    </w:p>
    <w:p>
      <w:r>
        <w:t>Compte tenu de ce qui précède, le recours doit être admis. En conséquence, il y a lieu d’annuler les chiffres 1 à 3 du dispositif de la décision querellée et de renvoyer la cause au SEM pour instruction complémentaire. Celui-ci est invité à prendre les mesures nécessaires et à réexaminer la demande d’asile du recourant à l’aune des considérations ci-dessus.</w:t>
      </w:r>
    </w:p>
    <w:p>
      <w:r>
        <w:rPr>
          <w:b/>
        </w:rPr>
        <w:t>E. 5.1</w:t>
      </w:r>
    </w:p>
    <w:p>
      <w:r>
        <w:t>S’avérant manifestement fondé, le recours est admis dans une procédure à juge unique, avec l’approbation d’une seconde juge (art. 111 let. e LAsi).</w:t>
      </w:r>
    </w:p>
    <w:p>
      <w:r>
        <w:rPr>
          <w:b/>
        </w:rPr>
        <w:t>E. 5.2</w:t>
      </w:r>
    </w:p>
    <w:p>
      <w:r>
        <w:t>Il est renoncé à un échange d’écritures (art. 111a al. 1 LAsi).</w:t>
      </w:r>
    </w:p>
    <w:p>
      <w:r>
        <w:rPr>
          <w:b/>
        </w:rPr>
        <w:t>E. 6.1</w:t>
      </w:r>
    </w:p>
    <w:p>
      <w:r>
        <w:t>Vu l’issue de la procédure, il y a lieu de statuer sans frais (art. 63 al. 3 PA, applicable par renvoi de l’art. 37 LTAF).</w:t>
      </w:r>
    </w:p>
    <w:p>
      <w:r>
        <w:rPr>
          <w:b/>
        </w:rPr>
        <w:t>E. 6.2</w:t>
      </w:r>
    </w:p>
    <w:p>
      <w:r>
        <w:t>Conformément aux art. 64 al. 1 PA et 7 du règlement du 21 février 2008 concernant les frais, dépens et indemnités fixés par le Tribunal administratif fédéral [FITAF, RS 173.320.2]), l’autorité peut allouer, d’office ou sur requête, à la partie ayant entièrement ou partiellement gain de cause, une indemnité pour les frais indispensables et relativement élevés occasionnés par le litige.</w:t>
      </w:r>
    </w:p>
    <w:p>
      <w:r>
        <w:t>D-3363/2021 Page 7</w:t>
      </w:r>
    </w:p>
    <w:p>
      <w:r>
        <w:rPr>
          <w:b/>
        </w:rPr>
        <w:t>E. 6.3</w:t>
      </w:r>
    </w:p>
    <w:p>
      <w:r>
        <w:t>Compte tenu de l’ensemble des circonstances du cas d’espèce, l’indemnité allouée à titre de dépens est arrêtée à un montant de 1'000 francs, pour l’activité indispensable que le mandataire du recourant a déployée dans la présente procédure (art. 8 à 11 FITAF), à la charge du SEM. (dispositif : page suivante)</w:t>
      </w:r>
    </w:p>
    <w:p>
      <w:r>
        <w:t>D-3363/2021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