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D-3355/2010 vom 30. September 2010</w:t>
      </w:r>
    </w:p>
    <w:p>
      <w:r>
        <w:t>Bundesverwaltungsgericht, 2010-09-30, DE</w:t>
      </w:r>
    </w:p>
    <w:p>
      <w:r>
        <w:rPr>
          <w:b/>
        </w:rPr>
        <w:t xml:space="preserve">Quelle: </w:t>
      </w:r>
      <w:r>
        <w:t>https://mcp.opencaselaw.ch/entscheid/bvger_D-3355_2010</w:t>
      </w:r>
    </w:p>
    <w:p>
      <w:r>
        <w:t>FR: TAF D-3355/2010 du 30 septembre 2010</w:t>
      </w:r>
    </w:p>
    <w:p>
      <w:r>
        <w:t>IT: TAF D-3355/2010 del 30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Die Beschwerde richtet sich gemäss den Beschwerdebegehren und der Begründung ausschliesslich gegen den Vollzug der von der Vorinstanz verfügten Wegweisung. Die Verfügung des BFM vom 9. April 2010 ist, soweit sie die Frage der Flüchtlingseigenschaft und der Asylgewährung betrifft (Ziff. 1 und 2 des Dispositivs der vorinstanzlichen Verfügung), in Rechtskraft erwachsen und auch die Anordnung der Wegweisung (Ziff. 3 des Dispositivs) ist nicht mehr zu überprüfen (vgl. Entscheidungen und Mitteilungen der Schweizerischen Asylrekurskommission [EMARK] 2001 Nr. 21). Gegenstand des vorlie-genden Verfahrens bildet somit lediglich die Frage, ob das Bundesamt den Vollzug der Wegweisung zu Recht als zulässig, zumutbar und möglich erklärt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5.2</w:t>
      </w:r>
    </w:p>
    <w:p>
      <w:r>
        <w:t>Die Vorinstanz wies in ihrer angefochtenen Verfügung zutreffend darauf hin, dass der Grundsatz der Nichtrückschiebung nur Personen schützt, die die Flüchtlingseigenschaft erfüllen. 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nicht gelungen. Nach Prüfung der Akten ist übereinstimmend mit der Vorinstanz festzuhalten, dass die Behauptung des Beschwerdeführers, wonach er in seinem Heimatland am 28. Mai 2008 in einer Eisenfabrik eine Explosion verursacht habe, bei der fünf Menschen getötet worden seien, weshalb er nun von Angehörigen dieser Opfer mit dem Tod bedroht werde beziehungsweise er von der Polizei per Haftbefehl gesucht werde, nicht glaubhaft ist, wobei zur Vermeidung von Wiederholungen vorab auf die zutreffenden vorinstanzlichen Erwägungen zu verweisen ist (vgl. Ziffer I; Bst. B. vorstehend). Die in der Beschwerde geltend gemachte Vermutung (Irrtum beziehungsweise Übersetzungsfehler), weshalb eine Divergenz in Bezug auf die Datumsangabe des Beschwerdeführers und jener im Haftbefehl vom 10. Januar 2008 vorliegt, vermag das Gericht nicht zu überzeugen, zumal der Beschwerdeführer bezüglich des Datums der Explosion an beiden Befragungen übereinstimmende Angaben gemacht hat und sogar in der Lage war, den genauen Zeitpunkt der Explosion anzugeben (vgl. Akten BFM A 7/13, S. 5). Die beiden lediglich in Kopie eingereichten irakischen Haftbefehle sind nicht geeignet, die vom Beschwerdeführer geltend gemachten Verfolgungsvorbringen glaubhaft zu machen, da erhebliche Zweifel an der Echtheit dieser Haftbefehle bestehen, zumal der Inhalt dieser beiden Dokumente mit den Aussagen des Beschwerdeführers nicht zu vereinbaren ist. So ist beispielsweise in beiden Haftbefehlen zu lesen, der Beschwerdeführer sei "flüchtig", obwohl dieser anlässlich der Befragungen geltend machte, er habe sich nach dem Spitalaufenthalt noch während etwa neun Monaten ausschliesslich zu Hause aufgehalten und sei bis zur Ausreise in D._______ wohnhaft geblieben (vgl. Akten BFM A 1/9, S. 1, A 7/13, S. 5). Auch die mit Fotos dokumentierten Verbrennungen des Beschwerdeführers vermögen seine Verfolgungsvorbringen nicht glaubhaft zu machen, zumal diese lediglich bestätigen, dass sich der Beschwerdeführer Verbrennungen zugezogen hat. Aus diesen Gründen ist davon auszugehen, dass der Beschwerdeführer bei einer Rückkehr in den Irak keine Racheakte von Privatpersonen respektive keine behördlichen Nachstellungen zu befürchten hat. Abgesehen davon wären Abklärungen beziehungsweise Untersuchungen nach einer Explosion mit Todesfolge rechtsstaatlich legitim und die kurdischen Behörden grundsätzlich in der Lage, Schutz vor allfälliger (privater) Verfolgung zu gewähren (vgl. BVGE 2008/4 E. 6.5). Entgegen der Behauptung in der Rechtsmittelschrift bestehen zudem keine Hinweise darauf, dass dem Beschwerdeführer ein unfaires Gerichtsverfahren drohen würde. Auch die allgemeine Menschenrechtssituation im Irak lässt den Wegweisungsvollzug zum heutigen Zeitpunkt nicht als unzulässig erscheinen (vgl. a.a.O. E. 6.2 ff. und 6.6).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In Bezug auf die allgemeine Lage in den drei nordirakischen Provinzen kann auf die vom Bundesverwaltungsgericht vorgenommene Einschätzung der Lage in einem ergangenen Grundsatzurteil verwiesen werden (vgl. BVGE 2008/5). Das Gericht stellt dort zusammenfassend fest, dass in den drei kurdischen Provinzen Dohuk, Sulaymaniya und Erbil keine Situation allgemeiner Gewalt herrscht und die dortige politische Lage nicht dermassen angespannt ist,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Für allgemein zumutbar erachtet es grundsätzlich die Rückkehr von Personen, die ursprünglich aus der Region stammen oder längere Zeit dort gelebt haben und über ein soziales Netz (Familie, Verwandtschaft oder Bekanntenkreis) oder über Beziehungen zu den herrschenden Parteien verfügen. Für alleinstehende Frauen und für Familien mit Kindern, sowie für Kranke und Betagte ist bei der Feststellung der Zumutbarkeit des Wegweisungsvollzugs jedoch grosse Zurückhaltung angebracht (vgl. ebenda E. 7.5 und insbesondere 7.5.8). Diese vom Bundesverwaltungsgericht vorgenommene Lageeinschätzung ist nach wie vor als gültig zu erachten. An dieser Ansicht vermögen weder die Vorbringen in der Rechtsmittelschrift noch die eingereichten Internetartikel etwas zu ändern, weshalb die Rückkehr des Beschwerdeführers in den Irak grundsätzlich als zumutbar zu erachten ist.</w:t>
      </w:r>
    </w:p>
    <w:p>
      <w:r>
        <w:rPr>
          <w:b/>
        </w:rPr>
        <w:t>E. 5.3.3</w:t>
      </w:r>
    </w:p>
    <w:p>
      <w:r>
        <w:t>Es bleibt demnach zu prüfen, ob individuelle Gründe vorliegen, die eine Rückkehr des Beschwerdeführers in den Irak als unzumutbar erscheinen lassen. Er hat - ausser den als unglaubhaft zu beurteilenden Verfolgungsvorbringen - nichts vorgebracht, was gegen einen Wegweisungsvollzug in den Irak sprechen würde. Der erst im Alter von knapp 22 Jahren in die Schweiz eingereiste Beschwerdeführer hat den weitaus grössten Teil seines Lebens in der Provinz Dohuk verbracht, weshalb er mit der dortigen Sprache, Kultur, Arbeits- und Lebensweise bestens vertraut ist. Eigenen Angaben zufolge verfügt er in der Heimat über ein grosses familiäres Beziehungsnetz (Eltern, Brüder, Schwester) und ist alleinstehend, womit er nach seiner Rückkehr lediglich für seinen eigenen Unterhalt aufzukommen hat, was ihm - wenn auch mit Anfangsschwierigkeiten - gelingen dürfte. Schliesslich hat der aktenkundig gesunde Beschwerdeführer durch seine Migration in die Schweiz eine gewisse Flexibilität unter Beweis gestellt, weshalb ihm der Aufbau einer neuen Existenz - bei entsprechendem Bemühen - auch in seinem Heimatland gelingen sollte. Zudem kann davon ausgegangen werden, dass sich der Beschwerdeführer mit Hilfe seiner Verwandten sowie seines Beziehungsnetzes wieder einzugliedern vermag. Aus diesen Gründen ist es dem Beschwerdeführer zuzumuten, sich wieder in der Provinz Dohuk niederzulassen, weshalb der Vollzug der Wegweisung in sein Heimat-land als zumutbar zu erachten ist.</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Die Vorinstanz hat den Vollzug der Wegweisung somit zu Recht als zulässig, zumutbar und möglich erachtet. Nach dem Gesagten fällt eine Anordnung der vorläufigen Aufnahme ausser Betracht (Art. 83 Abs. 1-4 AuG), weshalb der Eventualantrag, die Sache sei zur Neubeurteilung an das BFM zurückzuweisen, abzuweisen ist.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28. Mai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