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D-3352/2016 vom 22. Februar 2017</w:t>
      </w:r>
    </w:p>
    <w:p>
      <w:r>
        <w:t>Bundesverwaltungsgericht, 2017-02-22, DE</w:t>
      </w:r>
    </w:p>
    <w:p>
      <w:r>
        <w:rPr>
          <w:b/>
        </w:rPr>
        <w:t xml:space="preserve">Quelle: </w:t>
      </w:r>
      <w:r>
        <w:t>https://mcp.opencaselaw.ch/entscheid/bvger_D-3352_2016</w:t>
      </w:r>
    </w:p>
    <w:p>
      <w:r>
        <w:t>FR: TAF D-3352/2016 du 22 février 2017</w:t>
      </w:r>
    </w:p>
    <w:p>
      <w:r>
        <w:t>IT: TAF D-3352/2016 del 22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3.3</w:t>
      </w:r>
    </w:p>
    <w:p>
      <w:r>
        <w:t>Die Vorinstanz hat im angefochtenen Entscheid ausführlich dargelegt, weshalb die Angaben des Beschwerdeführers zur angeblichen Verfolgungssituation nicht glaubhaft wirken. In der Beschwerde werden gewisse Ungereimtheiten auf unsorgfältige Protokollierungen der Aussagen anlässlich der BzP zurückgeführt. Dies überzeugt aber nicht, da der Beschwerdeführer bei der BzP keine Vorbehalte im Sinne von Verständigungsproblemen formulierte und die Korrektheit des Protokolls unterschriftlich bestätigte (vgl. A 3/12 S. 2 und 9). Soweit überdies Beanstandungen des Anhörungsprotokolls vorgetragen werden, ist darauf hinzuweisen, dass er sich auch bei den dortigen Aussagen behaften lassen muss, da er die dolmetschende Person offenbar gut verstand und die Korrektheit des Protokolls wiederum bestätigte. Die Hilfswerkperson sah sich nicht veranlasst, auf dem Beiblatt Einwände zu formulieren (vgl. A 10/21 Antwort 1 und S. 20 f.). Der Beschwerdeführer hat die Tätigkeit seines Vaters als (...) für die LTTE und die Kontakte zu zwei LTTE-zugehörigen Cousins erst bei der Anhörung geltend gemacht, was die Glaubhaftigkeit des Engagements seines Umfelds für die Bewegung im Sinne nachgeschobener Vorbringen entgegen den Beschwerdevorbringen beeinträchtigt, zumal diese Sachverhaltsumstände kaum als blosse Konkretisierungen bereits bei der Erstbefragung angedeuteter Gefährdungselemente qualifiziert werden können. Die Hilfstätigkeit als Jugendlicher für die LTTE brachte er erst auf Beschwerdeebene vor. Die Glaubhaftigkeit seines - offensichtlich nicht herausragenden - eigenen Engagements und dasjenige der erwähnten Personen kann aber letztlich offen gelassen werden. So gab der Beschwerdeführer nämlich an, seine Schwierigkeiten im Jahr 2004 - die Festnahme im Rahmen eines round-up verbunden mit Misshandlungen und Fragen zu den obenstehend erwähnten Personen - seien für ihn nicht fluchtauslösend gewesen (vgl. A 10/21 Antwort 143). Im Zusammenhang mit den (angeblichen) Vorfällen von 2014 machte er dann ein Verfolgungsinteresse des CID insbesondere wegen D._______ und finanziell unterstützter Studenten im Dienst der LTTE geltend. Vor diesem Hintergrund erübrigt es sich, auf die vom SEM aufgelisteten und vom Beschwerdeführer bestrittenen Unglaubhaftigkeitselemente bei den Vorfällen des Jahres 2004 näher einzugehen, da insbesondere kein zeitlicher Zusammenhang zur erfolgten Ausreise ersichtlich ist. Das Abwarten eines Arztberichts für die 2004 erlittenen Verletzungen erübrigt sich somit. Bei der Schilderung der Ereignisse des Jahres 2014 war der Beschwerdeführer nur sehr bedingt in der Lage, den Eindruck einer tatsächlich erlittenen Verfolgung in der geltend gemachten Form entstehen zu lassen. Auch wenn die Aussagen teilweise Details enthalten, wirken sie überwiegend stereotyp und realitätsfremd. Realkennzeichen sind kaum vorhanden (vgl. A 10/21 Antworten 62 ff.). Hinzu kommen diverse Abweichungen bei den Angaben unter anderem auch zu den angeblich vorsprechenden drei Personen. Gemäss den Aussagen bei der BzP soll sich eine als Angehöriger des CID zu erkennen gegeben haben. Die zweite sei ein ihm bekanntes Mitglied der EPDP gewesen. Die dritte habe er nicht gekannt (vgl. A 3/12 S. 8). Laut den Darlegungen im Rahmen der Anhörung seien es aber drei unbekannte Personen gewesen beziehungsweise es habe sich um das bekannte EPDP-Mitglied und zwei sich als CID-Angehörige präsentierende Personen gehandelt (vgl. A 10/21 Antworten 62 und 113 f.). Ins Gewicht fällt ferner die Tatsache, dass sich die erwähnte, mit ihm angeblich befreundete CID-Person kaum als "Spion" dieser Behörde geoutet hätte (vgl. A 10/21 Antworten 96 ff.). Der Beschwerdeführer war anlässlich der Anhörung nicht in der Lage, diese und weitere Ungereimtheiten befriedigend zu erklären (vgl. A 10/21 Antworten 145 ff.). Auch in der Beschwerde fehlen stichhaltige Argumente für eine andere Sichtweise. Unbesehen der obenerwähnten Unglaubhaftigkeitselemente ist sodann festzuhalten, dass eine Behörde wie das CID bei tatsächlich vorhandener Verfolgungsmotivation entschiedener gegen den Beschwerdeführer vorgegangen und er nicht in der Lage gewesen wäre, auch nach dem Vorfall vom (...) November 2014 noch bis zum geltend gemachten Zeitpunkt immer wieder unbehelligt im Laden zu arbeiten. Es gelingt ihm auch in diesem Punkt nicht, mittels überzeugender Beschwerdeargumente die geltend gemachte Glaubhaftigkeit zu bewirken. Dass gemäss seinen Angaben im März 2015 Unbekannte bei seiner Mutter vorgesprochen und das Haus beschädigt haben sollen, lässt unbesehen der fraglichen Glaubhaftigkeit auch dieses Vorbringens noch nicht auf eine konkrete Gefährdung seiner Person schliessen (vgl. A 10/21 Antworten 21 f.). Die eingereichten Dokumente führen zu keiner anderen Einschätzung. Eine Relevanz der Todesurkunde des Vaters des Beschwerdeführers ist offensichtlich zu verneinen. Das im erstinstanzlichen Verfahren ferner eingereichte Dokument, bei dem es sich um eine Vorladung des CID handeln solle, ist vom SEM in Anbetracht der Beschaffungsmöglichkeiten vor Ort und der vorstehend erwähnten, nicht ersichtlichen Verfolgungsmotivation des CID in nachvollziehbarer Weise als nicht hinreichend beweistauglich erachtet worden. In antizipierter Würdigung konnte in vertretbarer Weise von einer weitergehenden Analyse des kurzen Schreibens abgesehen werden. Die gerügte Gehörsverletzung ist zu verneinen. Die im Beschwerdeverfahren eingereichten Schreiben sind vom SEM in der Vernehmlassung - wiederum unter Bezug auf die Aktenlage - als mutmassliche Gefälligkeitsschreiben zu Recht als ebenfalls nicht hinreichend überzeugend für eine Neubeurteilung der angeblichen Gefährdungslage bezeichnet worden. Eine Verletzung der Untersuchungsmaxime ist wiederum zu verneinen. Auch das nachgereichte Schreiben der Schwester des Beschwerdeführers weist keinen relevanten Beweiswert auf, und in Anbetracht der geschilderten Sachlage erübrigt es sich, die allfällige Nachreichung einer Übersetzung des anderen, am 26. August 2016 dem Gericht übermittelten Schreibens noch abzuwarten.</w:t>
      </w:r>
    </w:p>
    <w:p>
      <w:r>
        <w:rPr>
          <w:b/>
        </w:rPr>
        <w:t>E. 3.4</w:t>
      </w:r>
    </w:p>
    <w:p>
      <w:r>
        <w:t>Asylrelevante Vorfluchtgründe beziehungsweise eine begründete Furcht vor solchen Nachteilen sind mithin zu verneinen. Es kann davon abgesehen werden, auf weitere Unglaubhaftigkeitselemente näher einzugehen. Überzeugende Beschwerdevorbringen oder taugliche Beweismittel für eine andere Sichtweise fehlen, und die beantragte Abklärung vor Ort erübrigt sich. Somit bleibt zu prüfen, ob der Beschwerdeführer die Voraussetzungen für die Anerkennung als Flüchtling gemäss Art. 3 AsylG im aktuellen Zeitpunkt zu erfüllen vermag.</w:t>
      </w:r>
    </w:p>
    <w:p>
      <w:r>
        <w:rPr>
          <w:b/>
        </w:rPr>
        <w:t>E. 4.1</w:t>
      </w:r>
    </w:p>
    <w:p>
      <w:r>
        <w:t>Entsprechend der Lehre und Praxis ist für die Anerkennung der Flüchtlingseigenschaft erforderlich, dass die asylsuchende Person ernsthafte Nachteile von bestimmter Intensität im Falle einer Rückkehr in den Heimatstaat mit beachtlicher Wahrscheinlichkeit und in absehbarer Zukunft befürchten muss. Die Nachteile müssen der asylsuchenden Person gezielt und aufgrund bestimmter Verfolgungsmotive drohen.</w:t>
      </w:r>
    </w:p>
    <w:p>
      <w:r>
        <w:rPr>
          <w:b/>
        </w:rPr>
        <w:t>E. 4.2</w:t>
      </w:r>
    </w:p>
    <w:p>
      <w:r>
        <w:t>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 8.5.3).</w:t>
      </w:r>
    </w:p>
    <w:p>
      <w:r>
        <w:rPr>
          <w:b/>
        </w:rPr>
        <w:t>E. 4.3</w:t>
      </w:r>
    </w:p>
    <w:p>
      <w:r>
        <w:t>Rückkehrende aus der Schweiz, denen nahe Kontakte zu den LTTE unterstellt werden, sind bei der Wiedereinreise einer erhöhten Verfolgungsgefahr ausgesetzt. Dass der Name des Beschwerdeführers in der (...) abrufbaren "Stop-List" vermerkt ist, erscheint als unwahrscheinlich, da er nach dem Gesagten im Zeitpunkt der Ausreise kein eigentliches politisches Profil aufwies und - falls überhaupt glaubhaft - lediglich 2004 für kurze Zeit im Rahmen eines round-up in Haft war. Auch sein schon lange verstorbener Vater dürfte - unbesehen des Ausmasses seines damals allenfalls ausgeübten LTTE-Engagements - kaum dort vermerkt sein, und enge Bezüge zum einen offenbar ins Ausland gereisten Cousin sind nicht ersichtlich. Soweit er auf Beschwerdeebene vorbringt, als Jugendlicher während dreier Jahre Hilfsdienste für die Bewegung geleistet zu haben, führt alleine dieses weit zurückliegende allfällige Engagement noch nicht zu einer deutlichen Akzentuierung seines Risikoprofils. Ein exilpolitisches Engagement in der Schweiz wird nicht geltend gemacht. Auch das allfällige Fehlen ordentlicher Identitätsdokumente bei der Einreise in Sri Lanka sowie eine zwangsweise respektive durch die IOM begleitete Rückführung nach Sri Lanka sind schwach risikobegründende Faktoren, welche in der Regel für sich alleine genommen keine relevante Furcht vor ernsthaften Nachteilen im Sinne von Art. 3 AsylG zu begründen vermögen (a.a.O. E. 8.5.4 f.), aber in einer Gesamtsicht zu würdigen sind. Eine solche ergibt in Anbetracht der genannten Fallumstände keine relevante Erhöhung seines Risikoprofils.</w:t>
      </w:r>
    </w:p>
    <w:p>
      <w:r>
        <w:rPr>
          <w:b/>
        </w:rPr>
        <w:t>E. 5</w:t>
      </w:r>
    </w:p>
    <w:p>
      <w:r>
        <w:t>Zusammenfassend ist festzuhalten, dass der Beschwerdeführer nichts vorgebracht hat, das geeignet wäre, die Flüchtlingseigenschaft nachzuweisen oder glaubhaft zu machen.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7.1</w:t>
      </w:r>
    </w:p>
    <w:p>
      <w:r>
        <w:t>Der Vollzug der Wegweisung ist nach Art. 83 Abs. 3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verschiedene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dort eine menschenrechtswidrige Behandlung drohen.</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ist. Im erwähnten Referenzurteil hat das Bundesverwaltungsgericht seine bisherige Rechtsprechung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lebte gemäss eigenen Angaben in F._______/B._______ und verfügte dort über ein tragfähiges Beziehungsnetz sowie eine gesicherte Wohnsituation. Dass sich die Lage entscheidwesentlich verändert hätte, kann den Akten nicht entnommen werden, und die eingereichten Berichte zur allgemeinen Situation rechtfertigen keine andere Einschätzung. Er hat langjährige Berufserfahrung in einem Laden. Auch gesundheitlich spricht nichts gegen die Rückkehr. Entsprechend darf davon ausgegangen werden, dass er sich bei einer Rückkehr in seine Heimat schnell wieder integrieren und in der Lage sein wird, sich eine wirtschaftliche Existenzgrundlage aufzubauen. Eine konkrete Gefährdung vor Ort ist mithin zu verneinen. Der Vollzug der Wegweisung erweist sich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erachtet. Die Anordnung einer vorläufigen Aufnahme fällt ausser Betracht (Art. 83 Abs. 1-4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7. Juni 2016 guthiess. Da sich seine finanzielle Situation seit der Gutheissung nicht entscheidwesentlich veränderte, ist auf die Erhebung von Kosten zu verzichten.</w:t>
      </w:r>
    </w:p>
    <w:p>
      <w:r>
        <w:rPr>
          <w:b/>
        </w:rPr>
        <w:t>E. 9.2</w:t>
      </w:r>
    </w:p>
    <w:p>
      <w:r>
        <w:t>Mit Verfügung vom 7. Juni 2016 wurde ausserdem das Gesuch um amtliche Verbeiständung gutgeheissen (Art. 110a Abs. 1 AsylG) und dem Beschwerdeführer sein Rechtsvertreter als Rechtsbeistand zugeordnet. Demnach ist diesem ein amtliches Honorar für seine notwendigen Aufwendungen im Beschwerdeverfahren auszurichten. Er reichte keine Kostennote ein. Auf die Nachforderung einer solchen wird jedoch verzichtet (vgl. Art. 14 Abs. 2 des Reglements vom 21. Februar 2008 über die Kosten und Entschädigungen vor dem Bundesverwaltungsgericht [VGKE, SR 173.320.2]), da im vorliegenden Verfahren der Aufwand zuverlässig abgeschätzt werden kann. Gestützt auf die in Betracht zu ziehenden Bemessungsfaktoren (Art. 9 - 13 VGKE) ist das amtliche Honorar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