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D-3347/2011 vom 24. Juni 2013</w:t>
      </w:r>
    </w:p>
    <w:p>
      <w:r>
        <w:t>Bundesverwaltungsgericht, 2013-06-24, DE</w:t>
      </w:r>
    </w:p>
    <w:p>
      <w:r>
        <w:rPr>
          <w:b/>
        </w:rPr>
        <w:t xml:space="preserve">Quelle: </w:t>
      </w:r>
      <w:r>
        <w:t>https://mcp.opencaselaw.ch/entscheid/bvger_D-3347_2011</w:t>
      </w:r>
    </w:p>
    <w:p>
      <w:r>
        <w:t>FR: TAF D-3347/2011 du 24 juin 2013</w:t>
      </w:r>
    </w:p>
    <w:p>
      <w:r>
        <w:t>IT: TAF D-3347/2011 del 24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der Asylsuchenden (vgl. Art. 8 AsylG).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 3.2 Die Beschwerdeführerin hatte bereits anlässlich der Erstbefragung vom 31. Dezember 2008 angegeben, ihre im Jahre 1996 geborene Tochter F._______ im Sudan zurückgelassen zu haben (vgl. Vorakten A1 S. 3). 3.2.1 Mit Eingabe vom 2. März 2012 (Eingang beim BFM: 5. März 2012) ersuchte F._______ durch eine von ihrer Mutter, mithin der Beschwerdeführerin, bevollmächtigte Rechtsvertreterin das BFM um Bewilligung der Einreise in die Schweiz und um Gewährung des Asyls (vgl. Bst. F. des Sachverhalts). Die Eingabe vom 2. März 2012 trug ausdrücklich den Vermerk "Asylgesuch aus dem Ausland" und war mit der Bitte um Weiterleitung an die schweizerische Botschaft in Khartum versehen. In der Folge wurde die F._______ betreffende Eingabe vom 2. März 2012 vom BFM im Zentralen Migrationsinformationssystem (ZEMIS) als "Asylgesuch aus dem Ausland/Einreiseantrag" unter derselben Nummer wie das Verfahren ihrer Mutter (N 520 045) registriert und anschliessend ohne weitere Vorkehrungen im Dossier der Beschwerdeführerin abgelegt. 3.2.2 Obwohl vom Bundesverwaltungsgericht mit Schreiben vom 14. Dezember 2012 ausdrücklich auf die noch nicht behandelte Eingabe vom 2. März 2012 sowie auf die Auswirkungen der Nichtbehandlung derselben auf das hängige Beschwerdeverfahren der Mutter hingewiesen und zur raschen Behandlung des Gesuches von F.________ um Bewilligung der Einreise in die Schweiz und um Gewährung des Asyls aufgefordert, blieb das BFM weiterhin untätig. 3.2.3 Hinsichtlich des Verfahrens bei einer schweizerischen Vertretung im Ausland sieht Art. 10 der Asylverordnung 1 vom 11. August 1999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aufgrund des eingereichten Asylgesuchs als entscheidreif erstellt erscheint; der asylsuchenden Person ist aber diesfalls im Sinne des rechtlichen Gehörs die Gelegenheit zu geben, sich zu einem abzusehenden negativen Entscheid zumindest schriftlich zu äussern (vgl. BVGE 207/30 E. 5.7). Im vorliegenden Fall wurde die Eingabe vom 2. März 2012 jedoch der schweizerischen Vertretung in Khartum noch gar nicht übermittelt und es ist davon auszugehen, dass diese nach wie vor keine Kenntnis vom Eingang des Gesuches von F._______ um Bewilligung der Einreise in die Schweiz und um Gewährung des Asyls hat. Das BFM hat - obwohl vom Bundesverwaltungsgericht mit Schreiben von 14. Dezember 2012 ausdrücklich darauf aufmerksam gemacht - dem Umstand, dass das vorliegende Beschwerdeverfahren erst dann umfassend geprüft werden kann, wenn zuvor das am 2. März 2012 eingereichte Gesuch der Tochter F._______ unter Berücksichtigung der vorstehend aufgeführten verfahrensrechtlichen Anforderungen geprüft worden ist, keine Rechnung getragen und damit nicht nur den rechtserheblichen Sachverhalt nicht richtig beziehungsweise nicht vollständig festgestellt, sondern auch den Grundsatz des rechtlichen Gehörs verletzt. 3.3 Aufgrund der Prioritätenordnung des BFM ist nicht absehbar, wann der erstinstanzliche Entscheid betreffend das Gesuch von F.______ ergehen wird, weshalb das diesbezügliche Verfahren als faktisch auf unbestimmte Zeit sistiert gelten kann. Gemäss der in Entscheidungen und Mitteilungen der Schweizerischen Asylrekurskommission [EMARK] 1999 Nr. 1 veröffentlichten, im Verfahren vor dem Bundesverwaltungsgericht nach wie vor geltenden Praxis ist eine Sistierung von Verfahren auf unbestimmte Zeit nicht angezeigt. 3.4 Nach dem Gesagten ist die Verfügung des BFM vom 18. Mai 2011 aufzuheben und das Verfahren zur Neubeurteilung unter Berücksichtigung der zuvor ausreichend abgeklärten Vorbringen der Tochter F.______ an die Vorinstanz zurückzuweisen (Art. 61 Abs. 1 VwVG).</w:t>
      </w:r>
    </w:p>
    <w:p>
      <w:r>
        <w:rPr>
          <w:b/>
        </w:rPr>
        <w:t>E. 4.1</w:t>
      </w:r>
    </w:p>
    <w:p>
      <w:r>
        <w:t>Bei diesem Ausgang des Verfahrens sind - ungeachtet der Tatsache, dass das Bundesverwaltungsgericht der Beschwerdeführerin am 7. Juli 2011, unter Vorbehalt ihrer dannzumaligen finanziellen Verhältnisse, die unentgeltliche Prozessführung (Art. 65 Abs. 1 VwVG) bewilligte - keine Kosten zu erheben (Art. 63 Abs. 1 und 2 VwVG).</w:t>
      </w:r>
    </w:p>
    <w:p>
      <w:r>
        <w:rPr>
          <w:b/>
        </w:rPr>
        <w:t>E. 4.2</w:t>
      </w:r>
    </w:p>
    <w:p>
      <w:r>
        <w:t>Obsiegende Parteien haben Anspruch auf eine 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die Beschwerdeführerin zuverlässig abgeschätzt werden kann (vgl. Art. 14 Abs. 2 VGKE). Die von der Vorinstanz zu entrichtende Parteientschädigung ist von Amtes wegen und in Berücksichtigung der massgeblichen Bemessungsfaktoren (vgl. Art. 8 ff. VGKE) auf Fr. 800.-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