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D-3346/2019 vom 18. Juli 2019</w:t>
      </w:r>
    </w:p>
    <w:p>
      <w:r>
        <w:t>Bundesverwaltungsgericht, 2019-07-18, DE</w:t>
      </w:r>
    </w:p>
    <w:p>
      <w:r>
        <w:rPr>
          <w:b/>
        </w:rPr>
        <w:t xml:space="preserve">Quelle: </w:t>
      </w:r>
      <w:r>
        <w:t>https://mcp.opencaselaw.ch/entscheid/bvger_D-3346_2019</w:t>
      </w:r>
    </w:p>
    <w:p>
      <w:r>
        <w:t>FR: TAF D-3346/2019 du 18 juillet 2019</w:t>
      </w:r>
    </w:p>
    <w:p>
      <w:r>
        <w:t>IT: TAF D-3346/2019 del 18 luglio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Bereich des Ausländerrechts zudem auch auf Unangemessenheit (Art. 49 VwVG).</w:t>
      </w:r>
    </w:p>
    <w:p>
      <w:r>
        <w:rPr>
          <w:b/>
        </w:rPr>
        <w:t>E. 2.2</w:t>
      </w:r>
    </w:p>
    <w:p>
      <w:r>
        <w:t>Für das vorliegende Verfahren gilt das bisherige Recht (vgl. Abs. 1 der Übergangsbestimmungen zur Änderung des AsylG vom 25. September 2015).</w:t>
      </w:r>
    </w:p>
    <w:p>
      <w:r>
        <w:rPr>
          <w:b/>
        </w:rPr>
        <w:t>E. 2.3</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2.4</w:t>
      </w:r>
    </w:p>
    <w:p>
      <w:r>
        <w:t>Die Beschwerde erweist sich als offensichtlich unbegründet und ist im Verfahren einzelrichterlicher Zuständigkeit mit Zustimmung einer zweiten Richterin respektive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Entgegen der in der Beschwerde sinngemäss erhobenen Rüge hat sich das SEM im vorliegenden Fall keine unrichtige Anwendung der Beweisregel von Art. 7 AsylG vorzuwerfen. Wie in der angefochtenen Verfügung mit umfassender Begründung erläutert wird, halten die Vorbringen des Beschwerdeführers in den wesentlichen Punkten den Anforderungen an das reduzierte Beweismass des Glaubhaftmachens nicht stand. In erster Linie gilt dies für die im Zentrum stehenden Behelligungen durch die sri-lankischen Behörden, wozu vorweg auf die Argumentation in der angefochtenen Verfügung verwiesen werden kann (vgl. SEM act. A21, S. 3 ff.). Im Gegensatz zu seiner Aussage in der BzP, dass die sri-lankischen Behörden seiner Mutter gesagt hätten, er müsse zu einer behördlichen Befragung erscheinen, liess er in der Anhörung verlauten, dass er 2015 drei Tage in einem Camp festgehalten und gefoltert worden sei, ehe ihm mit Hilfe eines Dolmetschers die Flucht gelungen sei. Gleichermassen widersprüchlich äusserte sich der Beschwerdeführer zu den Umständen seiner Flucht. In der BzP gab er zu Protokoll, dass er sich im Februar 2016 zwei Monate vor seiner Ausreise nach C._______ begeben habe, nachdem an seinem Wohnort nach ihm gesucht worden sei, wogegen er in der Anhörung hierzu erklärte, dass er sich bereits 2015 nach C._______ begeben und dort für ein Jahr gelebt habe. Das Argument in der Beschwerde, dass er aus Angst und mangelndem Vertrauen zum Befrager (vgl. daselbst, S. 3 f.) in der BzP unvollständige und teils unrichtige Angaben gemacht habe, kann spätestens ab den einleitenden Bemerkungen in der BzP (Hinweis auf Mitwirkungs- und Wahrheitspflicht des Beschwerdeführers sowie Verschwiegenheitspflicht der Asylbehörden) nicht mehr beansprucht werden und vermag die Widersprüche nicht aufzulösen. Zudem hat sich der Beschwerdeführer hinsichtlich der geltend gemachten Behelligungen durch die sri-lankischen Behörden auch innerhalb der Anhörung und der BzP selbst in gewichtige Widersprüche verstrickt. Die Vorinstanz führt im angefochtenen Entscheid Punkt für Punkt aus, wieso sie die geltend gemachten Asylvorbringen für nicht glaubhaft erachtet. Zur Vermeidung von Wiederholungen kann auf die Erwägungen des SEM in der angefochtenen Verfügung verwiesen werden (vgl. SEM act. A21, S. 4 f.), welche sich als sachgemäss erweisen. An dieser Einschätzung vermögen auch die eingereichten Beweismittel (vgl. Bst. C vorstehend) nichts zu ändern. Den eingereichten Bestätigungsschreiben kommt angesichts der naheliegenden Möglichkeit, dass es sich um blosse Gefälligkeitsschreiben handelt und die Dokumente auch keine Sicherheitsmerkmale aufweisen, ein lediglich geringer Beweiswert zu. Die in der Beschwerde in Aussicht gestellten Dokumente (Bestätigungsschreiben von Herrn D._______ im Original, Bestätigungsschreiben von E._______ im Original, Bestätigungsschreiben der Mutter, ärztliches Zeugnis seiner Hausärztin) sind zum Nachweis der geltend gemachten Vorbringen nicht geeignet, so dass deren Nachreichung in antizipierter Beweiswürdigung nicht abgewartet werden muss, weshalb der Antrag auf Ansetzung einer Frist zur Einreichung weiterer Beweismittel mangels Notwendigkeit abzuweisen ist. Schliesslich begründen die Teilnahmen an Heldentagfeierlichkeiten in der Schweiz alleine keine subjektiven Nachfluchtgründe, was auch die Vorinstanz zutreffend erkannt hat. Sie hat das Vorliegen sowohl von Vorflucht- als auch von Nachfluchtgründen somit zu Recht verneint.</w:t>
      </w:r>
    </w:p>
    <w:p>
      <w:r>
        <w:rPr>
          <w:b/>
        </w:rPr>
        <w:t>E. 4.2</w:t>
      </w:r>
    </w:p>
    <w:p>
      <w:r>
        <w:t>Es bestehen vorliegend auch keine Risikofaktoren (vgl. zu diesen Faktoren Urteil des Bundesverwaltungsgerichts E-1866/2015 vom 15. Juli 2016 E. 9.2.4 [als Referenzurteil publiziert]), bei einer Rückkehr nach Sri Lanka Verfolgungsmassnahmen ausgesetzt zu werden. Der Beschwerdeführer konnte keine asylrelevante Verfolgung vor seiner Ausreise glaubhaft machen. Vielmehr konnte er vor Ort leben, die Schule abschliessen und arbeiten. Die - sofern überhaupt glaubhaften - Ausführungen zu den Beziehungen seines Cousins zu LTTE-Mitgliedern sind zu oberflächlich ausgefallen und haben kein Verfolgungsinteresse seitens der sri-lankischen Behörden an seiner Person ausgelöst respektive haben sich als unglaubhaft erwiesen. Es bestehen keine hinreichenden Anhaltspunkte dafür, dass dem Beschwerdeführer bei einer Rückkehr nach Sri Lanka persönlich ernsthafte Nachteile im Sinne von Art. 3 AsylG drohen könnten.</w:t>
      </w:r>
    </w:p>
    <w:p>
      <w:r>
        <w:rPr>
          <w:b/>
        </w:rPr>
        <w:t>E. 4.3</w:t>
      </w:r>
    </w:p>
    <w:p>
      <w:r>
        <w:t>Damit ist nach Würdigung der gesamten Umstände als Ergebnis festzuhalten, dass der Beschwerdeführer die Voraussetzungen der Flüchtlingseigenschaft im Sinne von Art. 3 AsylG nicht erfüllt. Folgerichtig bleibt ihm die Gewährung von Asyl durch die schweizerischen Behörden versagt (Art. 2 Abs. 1 und Art. 49 AsylG). Die Ablehnung des entsprechenden Gesuchs durch die Vorinstanz ist zu bestätigen. 5.Gemäss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6.2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hinweist,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 Solches lässt sich gemäss oben stehenden Ausführungen auch nicht annehmen.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sind aufgrund der Akten ebenfalls nicht ersichtlich. Der Vollzug der Wegweisung ist zulässig.</w:t>
      </w:r>
    </w:p>
    <w:p>
      <w:r>
        <w:rPr>
          <w:b/>
        </w:rPr>
        <w:t>E. 6.3</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zumutbar ist, was gemäss Urteil D-3619/2016 vom 16. Oktober 2017 (als Referenzurteil publiziert) auch für das Vanni-Gebiet gilt.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01.05.2019; NZZ vom 29. April 2019, 15 Leichen nach Explosionen bei Razzien in Sri Lanka entdeckt - was wir über die Anschläge vom Ostersonntag wissen, https://www.nzz.ch/international/anschlaege-in-sri-lanka-was-wir-wissen-was-unklar-ist-ld.1476859, abgerufen am 01.05.2019; New York Times [NYT], What We Know and Don't Know About the Sri Lanka Attacks, https://www.nytimes.com/2019/04/22/world/asia/sri-lanka-attacks-bombings-explosions-updates.html?action=click&amp;module=Top%20Stories&amp;pgtype=Homepage, abgerufen 01.05.2019) nichts zu ändern. Der Beschwerdeführer stammt aus B._______ und lebte zuletzt in C._______. Der Vollzug in diese Provinzen ist im Lichte der Rechtsprechung grundsätzlich zumutbar. In vorliegendem Fall sprechen sodann keine individuellen Gründe gegen einen Wegweisungsvollzug. Beim Beschwerdeführer handelt es sich um einen jungen Mann mit Schulbildung und Berufserfahrung als (...). Des Weiteren verfügt er in Sri Lanka über ein tragfähiges Beziehungsnetz (Mutter, Schwester, sämtliche Verwandte seines Vaters). Besondere Umstände, aufgrund derer von einer Existenzbedrohung ausgegangen werden müsste, sind vorliegend keine ersichtlich. Der Vollzug der Wegweisung erweist sich somit nicht als unzumutbar.</w:t>
      </w:r>
    </w:p>
    <w:p>
      <w:r>
        <w:rPr>
          <w:b/>
        </w:rPr>
        <w:t>E. 6.4</w:t>
      </w:r>
    </w:p>
    <w:p>
      <w:r>
        <w:t>Nach Art. 83 Abs. 2 AIG ist der Vollzug auch als möglich zu bezeichnen, weil es dem Beschwerdeführer obliegt, sich die für eine Rückkehr notwendigen Reisedokumente bei der zuständigen Vertretung seines Heimatstaats zu beschaffen (Art. 8 Abs. 4 AsylG, vgl. dazu BVGE 2008/34 E. 12). Der Vollzug der Wegweisung ist möglich.</w:t>
      </w:r>
    </w:p>
    <w:p>
      <w:r>
        <w:rPr>
          <w:b/>
        </w:rPr>
        <w:t>E. 6.5</w:t>
      </w:r>
    </w:p>
    <w:p>
      <w:r>
        <w:t>Die Vorinstanz hat den Vollzug demnach zu Recht als zulässig, zumutbar und möglich erachtet. Damit fällt die Anordnung der vorläufigen Aufnahme ausser Betracht (Art. 83 Abs. 1-4 AIG). 7.Aus diesen Erwägungen ergibt sich, dass die angefochtene Verfügung Bundesrecht nicht verletzt und auch sonst nicht zu beanstanden ist (Art. 106 AsylG und Art. 49 VwVG). Die Beschwerde ist abzuweisen.</w:t>
      </w:r>
    </w:p>
    <w:p>
      <w:r>
        <w:rPr>
          <w:b/>
        </w:rPr>
        <w:t>E. 8</w:t>
      </w:r>
    </w:p>
    <w:p>
      <w:r>
        <w:t>Der Beschwerdeführer beantragt die Gewährung der unentgeltlichen Rechtspflege gemäss Art. 65 Abs. 1 VwVG. Aufgrund der vorstehenden Erwägungen ergibt sich, dass seine Begehren als von vornherein aussichtslos zu gelten haben. Damit ist eine der kumulativ zu erfüllenden Voraussetzungen nicht gegeben, weshalb dem Gesuch nicht stattzugeben ist. Aus demselben Grund kann auch dem Gesuch um unentgeltliche Rechtsverbeiständung nicht stattgegeben werden. Bei diesem Ausgang des Verfahrens sind die Kosten von Fr. 750.- (Art. 1-3 des Reglements vom 21. Februar 2008 über die Kosten und Entschädigungen vor dem Bundesverwaltungsgericht [VGKE], SR 173.320.2) somit dem Beschwerdeführer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