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D-3345/2011 vom 28. Juni 2011</w:t>
      </w:r>
    </w:p>
    <w:p>
      <w:r>
        <w:t>Bundesverwaltungsgericht, 2011-06-28, DE</w:t>
      </w:r>
    </w:p>
    <w:p>
      <w:r>
        <w:rPr>
          <w:b/>
        </w:rPr>
        <w:t xml:space="preserve">Quelle: </w:t>
      </w:r>
      <w:r>
        <w:t>https://mcp.opencaselaw.ch/entscheid/bvger_D-3345_2011</w:t>
      </w:r>
    </w:p>
    <w:p>
      <w:r>
        <w:t>FR: TAF D-3345/2011 du 28 juin 2011</w:t>
      </w:r>
    </w:p>
    <w:p>
      <w:r>
        <w:t>IT: TAF D-3345/2011 del 28 giugno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Es liegt kein solches Auslieferungsbegehren vor,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 wenn also erhebliche Tatsachen oder Beweismittel geltend gemacht werden, die im früheren Verfahren nicht bekannt waren oder damals noch nicht eingebracht werden konnten, oder wenn sich die Umstände seit der letzten Beurteilung wesentlich geändert haben - und mithin die ursprüngliche (fehlerfreie) Verfügung an nachträglich eingetretene Veränderungen der Sachlage anzupassen ist (vgl. Entscheidungen und Mitteilungen der Schweizerischen Asylrekurskommission [EMARK] 2003 Nr. 7 E. 1. S. 42 f.; BGE 124 II 1 E. 3a S. 6, BGE 120 Ib 42 E. 2b S. 46, BGE 113 Ia 146 E. 3a S. 150 ff.).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6.1</w:t>
      </w:r>
    </w:p>
    <w:p>
      <w:r>
        <w:t>Jedoch besagt Art. 32 Abs. 2 Bst. e AsylG als lex specialis (vgl. EMARK 1998 Nr. 1 E. 6.b S. 11 f., welches Urteil die Art. 32 Abs. 2 Bst. e AsylG vorausgegangene Bestimmung von Art. 16 Abs. 1 Bst. d AsylG in der Fassung gemäss Ziff. 1 des BB vom 22. Juni 1990 über das Asylverfahren betraf) gleichzeitig, dass auf ein Asylgesuch nicht eingetreten wird, wenn Asylsuchende in der Schweiz bereits ein Asylverfahren erfolglos durchlaufen haben oder während des hängigen Asylverfahrens in den Heimat- oder Herkunftsstaat zurückgekehrt sind, ausser die Anhörung ergebe Hinweise, dass in der Zwischenzeit Ereignisse eingetreten sind, die für die Begründung der Flüchtlingseigenschaft geeignet oder für die Gewährung des vorübergehenden Schutzes relevant sind.</w:t>
      </w:r>
    </w:p>
    <w:p>
      <w:r>
        <w:rPr>
          <w:b/>
        </w:rPr>
        <w:t>E. 6.2</w:t>
      </w:r>
    </w:p>
    <w:p>
      <w:r>
        <w:t>Gemäss Praxis sind im Nachgang zu einem erfolglos durchlaufenen Asylverfahren eingereichte Gesuche um Feststellung der Flüchtlingseigenschaft, in denen keine Revisionsgründe geltend gemacht werden, ungeachtet ihrer Bezeichnung nach Art. 32 Abs. 2 Bst. e AsylG zu behandeln (vgl. EMARK 1998 Nr. 1 E. 6. S. 10 ff. sowie EMARK 2006 Nr. 20 E. 2.3. S. 214). Die erste Variante des erfolglosen Durchlaufens eines Asylverfahrens in der Schweiz bedeutet nicht mehr und nicht weniger, als dass in einem ersten Asylverfahren rechtskräftig festgestellt oder implizit davon ausgegangen worden ist, dass der Beschwerdeführer (beziehungsweise Gesuchsteller) nicht Flüchtling ist (vgl. EMARK 1998 Nr. 1 E. 5. S. 5 ff.).</w:t>
      </w:r>
    </w:p>
    <w:p>
      <w:r>
        <w:rPr>
          <w:b/>
        </w:rPr>
        <w:t>E. 6.3</w:t>
      </w:r>
    </w:p>
    <w:p>
      <w:r>
        <w:t>Im vorliegenden Fall stellte das Bundesverwaltungsgericht in Übereinstimmung mit der Vorinstanz mit Urteil D-6893/2008 vom 1. März 2010 (rechtskräftig) fest, dass der Beschwerdeführer die Flüchtlingseigenschaft offensichtlich nicht erfüllt, aufgrund der Aktenlage keine weiteren Abklärungen zur Feststellung der Flüchtlingseigenschaft oder eines Wegweisungsvollzugshindernisses notwendig sind und das BFM somit zu Recht in Anwendung von Art. 32 Abs. 2 Bst. a und Abs. 3 AsylG auf sein Asylgesuch nicht eingetreten war. Unbestrittenermassen suchte der Beschwerdeführer am 27. April 2011 im EVZ (...) (ein zweites Mal) persönlich um Asyl nach und ersuchte an diesem Datum nicht - wie von der Vorinstanz fälschlicherweise festgehalten - mittels Eingabe um Wiedererwägung des ablehnenden Asylentscheides. Der Beschwerdeführer richtete denn auch in keiner Phase des hier vorliegenden Verfahrens eine als Wiedererwägungsgesuch bezeichnete oder inhaltlich als ein solches Gesuch zu verstehende Eingabe an die Asylbehörden. Vielmehr brachte er in der Befragung vom 12. Mai 2011 und durch die ins Recht gelegte Kopie eines irakischen Haftbefehls verbunden mit komplett neuen, ihm jedoch bereits bekannten Asylvorbringen (vgl. Sachverhalt Bst. J) zum Ausdruck, dass seine Flüchtlingseigenschaft (neu) festzustellen und ihm Asyl zu gewähren sei. Im hier vorliegenden Verfahren machte er nämlich geltend, dass ihm wegen illegalen Personenschmuggels über die türkisch-irakische Grenze in seiner Heimat eine asylrelevante Verfolgung drohe, falls er in seine Heimat weggewiesen würde. Auch die Rechtsmitteleingabe vom 14. Juni 2011 zielt nicht darauf ab, die bezüglich des Nichteintretens in Rechtskraft erwachsene Verfügung des BFM vom 22. Oktober 2008 als von Anfang an fehlerhaft erscheinen zu lassen. Mithin werden auch keine Revisionsgründe angerufen. Es ist überdies unbestritten, dass er in der Schweiz bereits ein Asylverfahren erfolglos durchlaufen hat. Damit brachte er hinlänglich vor, dass er - nach erfolglos durchlaufenem ersten Asylgesuch - erneut um Schutz vor Verfolgung ersucht, weshalb sein nochmaliges Vorsprechen bei den Asylbehörden vom 27. April 2011 ohne Weiteres unter den Begriff Asylgesuch im Sinne von Art. 18 AsylG zu subsumieren ist. Demzufolge lässt sich festhalten, dass die "Eingabe" beziehungsweise das erneute Ersuchen des Beschwerdeführers um Asyl vom 27. April 2011 einschliesslich der eingereichten Beweismittel nicht ein Wiedererwägungsgesuch, sondern ein neues Asylgesuch darstellt, welches vom Bundesamt als solches unter dem Aspekt von Art. 32 Abs. 2 Bst. e AsylG zu prüfen gewesen wäre (vgl. EMARK 2006 Nr. 20 E. 2.3. S. 214). Das Bundesamt missachtet demnach mit der angefochtenen Verfügung Verfahrensvorschriften und damit auch Bundesrecht.</w:t>
      </w:r>
    </w:p>
    <w:p>
      <w:r>
        <w:rPr>
          <w:b/>
        </w:rPr>
        <w:t>E. 7.1</w:t>
      </w:r>
    </w:p>
    <w:p>
      <w:r>
        <w:t>Abschliessend stellt sich die Frage, ob dies eine Aufhebung der angefochtenen Verfügung und die Rückweisung der Sache zur Neubeurteilung an das BFM zur Folge hat oder ob der Verfahrensmangel ausnahmsweise als durch das vorliegende Beschwerdeverfahren geheilt betrachtet werden kann.</w:t>
      </w:r>
    </w:p>
    <w:p>
      <w:r>
        <w:rPr>
          <w:b/>
        </w:rPr>
        <w:t>E. 7.2</w:t>
      </w:r>
    </w:p>
    <w:p>
      <w:r>
        <w:t>Der Beschwerdeführer stellte am 27. April 2011 bei den Asylbehörden unmissverständlich ein neues Asylgesuch und reichte ein Beweismittel ein. Er machte in keiner Phase des Verfahrens Wiedererwägungsgründe geltend, sondern ersuchte sowohl bei der Befragung vom 12. Mai 2011 als auch in seiner Rechtsmitteleingabe vom 14. Juni 2011 ausdrücklich und mit komplett neuen Vorbringen erneut um die Anerkennung als Flüchtling und die Gewährung von Asyl. Somit kann nicht davon ausgegangen werden, das BFM habe das erneute Stellen eines Asylgesuches vom 27. April 2011 versehentlich als Wiedererwägungsgesuch behandelt, sondern es muss vielmehr angenommen werden, das Bundesamt nehme die Verletzung von Verfahrensvorschriften im vorliegenden Fall in Kauf. Unter diesen Umständen kann der festgestellte Verfahrensmangel von vornherein nicht als durch das vorliegende Beschwerdeverfahren geheilt betrachtet werden, weil andernfalls ein Präjudiz geschaffen würde, welches das BFM künftig gleichsam von einer sorgfältigen Verfahrensführung entbinden würde.</w:t>
      </w:r>
    </w:p>
    <w:p>
      <w:r>
        <w:rPr>
          <w:b/>
        </w:rPr>
        <w:t>E. 8</w:t>
      </w:r>
    </w:p>
    <w:p>
      <w:r>
        <w:t>Zusammenfassend ergibt sich, dass die Vorinstanz das erneute Asylgesuch des Beschwerdeführers vom 27. April 2011 zu Unrecht als Wiedererwägungsgesuch behandelt und damit Bundesrecht verletzt hat (vgl. Art 106 AsylG). Die Beschwerde ist somit gutzuheissen, die angefochtene Verfügung vom 27. Mai 2011 aufzuheben und die Sache zur Neubeurteilung an die Vorinstanz zurückzuweisen.</w:t>
      </w:r>
    </w:p>
    <w:p>
      <w:r>
        <w:rPr>
          <w:b/>
        </w:rPr>
        <w:t>E. 9</w:t>
      </w:r>
    </w:p>
    <w:p>
      <w:r>
        <w:t>Der Beschwerdeführer befindet sich somit wiederum im Asylverfahren, während dessen gesamter Dauer er sich gestützt auf Art. 42 Abs. 1 AsylG in der Schweiz aufhalten kann.</w:t>
      </w:r>
    </w:p>
    <w:p>
      <w:r>
        <w:rPr>
          <w:b/>
        </w:rPr>
        <w:t>E. 10</w:t>
      </w:r>
    </w:p>
    <w:p>
      <w:r>
        <w:t>Bei diesem Ausgang des Verfahrens sind keine Verfahrenskosten aufzuerlegen (Art. 63 Abs. 1 VwVG), womit das Gesuch um Gewährung der unentgeltlichen Rechtspflege im Sinne von Art. 65 Abs. 1 VwVG gegen­standslos wird.</w:t>
      </w:r>
    </w:p>
    <w:p>
      <w:r>
        <w:rPr>
          <w:b/>
        </w:rPr>
        <w:t>E. 11</w:t>
      </w:r>
    </w:p>
    <w:p>
      <w:r>
        <w:t>Gemäss Art. 64 Abs. 1 VwVG kann die Beschwerdeinstanz der ganz oder teilweise obsiegenden Partei von Amtes wegen oder auf Begehren eine Entschädigung für ihr erwachsene notwendige und verhältnismässig hohe Kosten zusprechen. Da der Beschwerdeführer im hier vorliegenden Verfahren keine Rechtsvertretung mandatierte, ist nicht von solchen Kosten auszugehen, weshalb die Entrichtung einer Parteientschädigung nicht in Betracht kommt (Art. 7 i.V.m. Art. 8 und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