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D-3329/2020 vom 22. Juli 2020</w:t>
      </w:r>
    </w:p>
    <w:p>
      <w:r>
        <w:t>Bundesverwaltungsgericht, 2020-07-22, FR</w:t>
      </w:r>
    </w:p>
    <w:p>
      <w:r>
        <w:rPr>
          <w:b/>
        </w:rPr>
        <w:t xml:space="preserve">Quelle: </w:t>
      </w:r>
      <w:r>
        <w:t>https://mcp.opencaselaw.ch/entscheid/bvger_D-3329_2020</w:t>
      </w:r>
    </w:p>
    <w:p>
      <w:r>
        <w:t>FR: TAF D-3329/2020 du 22 juillet 2020</w:t>
      </w:r>
    </w:p>
    <w:p>
      <w:r>
        <w:t>IT: TAF D-3329/2020 del 22 luglio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1.4</w:t>
      </w:r>
    </w:p>
    <w:p>
      <w:r>
        <w:t>Le Tribunal n'étant pas lié par les motifs invoqués à l'appui du recours (cf.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rPr>
          <w:b/>
        </w:rPr>
        <w:t>E. 1.5</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2.4</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ou matériel (changement objectif de circonstances entre la fin de la persécution alléguée et le moment du prononcé de la décision sur la demande d'asile ; sur la notion de lien de causalité, cf. ATAF 2011/50 consid. 3.1.2).</w:t>
      </w:r>
    </w:p>
    <w:p>
      <w:r>
        <w:rPr>
          <w:b/>
        </w:rPr>
        <w:t>E. 2.5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SEM a considéré que les déclarations de l'intéressé relatives à ses motifs d'asile manquaient de substance et de relief. Ce point de vue ne saurait être suivi. En effet, auditionné sur ses motifs de fuite, l'intéressé a exposé les faits de manière suivie et dans un descriptif étoffé des événements qui a été retranscrit sur cinq pages (cf. procès-verbal d'audition [pv.] du 22 juillet 2019, p. 10 à 14). Ses déclarations sur les points essentiels, sont consistantes, constantes, cohérentes et plausibles, de sorte que le recourant est personnellement crédible. Ses allégations reposent sur des descriptions détaillées, précises et concrètes des faits exposés au cours des deux auditions des 22 juillet et 11 novembre 2019. Elles sont restées sans contradictions et dans un récit spontané. Ces indices amènent à la conclusion que l'intéressé a réellement vécu les événements exposés lors de l'instruction de sa demande de protection. Il a notamment détaillé les circonstances de son incorporation forcée dans les LTTE, l'opposition de ses parents à son recrutement et sa crainte de voir ses frères ou soeur incorporés à sa place en cas de refus de sa part. Il a cité les noms de son unité et des lieux où se situaient les camps dans lesquels il a été endoctriné et a effectué ses entraînements. Le récit qu'il a fourni de son instruction, de ses entraînements militaires et de l'organisation des camps est truffé de détails (cf. pv. du 22 juillet 2019, réponses aux questions 89 et 109 à 111, p. 10, 16 et 17). Il a également précisé avoir été affecté à des tâches moins importantes [que d'autres membres du mouvement] en raison de sa minorité et a mentionné avec précision les fonctions et le nombre de personnes qui composaient son groupe. Il a indiqué le type d'armes qu'il devait utiliser, en a expliqué le maniement et fait un dessin du canon d'artillerie employé (cf. pv. du 22 juillet 2019, réponses aux questions 111 à 113, 136 à 138, p. 17 et 19). Il a aussi donné une description détaillée des déplacements de son groupe durant la guerre (cf. pv. du 22 juillet 2019, réponses aux questions 153 à 155, p. 21), mais également des blessures dont il a été victime, de sa reddition, de l'organisation dans le camp de L._______, des circonstances de son arrestation et de sa détention, alors qu'il se trouvait sur la propriété de son cousin et, finalement, de l'attentat contre la voiture de police prise pour cible dans son village (cf. pv. du 22 juillet 2019, réponse à la question 90, p. 10 ss.). Dans ces circonstances, la crédibilité des déclarations de l'intéressé ne peut être sérieusement remise en cause. Quant aux moyens de preuve produits, le SEM, qui s'est contenté de reprocher l'apport de copies de mauvaise qualité, facilement falsifiables et aisément accessibles au Sri Lanka, aurait dû procéder à une analyse plus approfondie de ceux-ci et n'était pas fondé à en rejeter la valeur probante sur la seule base de considérations générales dès lors que l'intéressé a rendu vraisemblable ses motifs de fuite.</w:t>
      </w:r>
    </w:p>
    <w:p>
      <w:r>
        <w:rPr>
          <w:b/>
        </w:rPr>
        <w:t>E. 3.2</w:t>
      </w:r>
    </w:p>
    <w:p>
      <w:r>
        <w:t>Sur la base de tous les éléments du dossier, l'intéressé a rendu vraisemblable sa qualité de membre des LTTE, le fait qu'il a toujours été dans le collimateur des autorités, qu'il a été recherché suite à l'attentat contre la voiture de la police de mai 2017 dans son village, qu'ayant déjà été victime de torture durant sa détention du mois de février précédent, puis transféré au tribunal de O._______ et libéré sous caution, il était fondé à craindre de nouveaux sérieux préjudices pour des motifs politiques. Il a du reste pris la fuite immédiatement pour N._______, où il a vécu dans la clandestinité chez un ami, le temps de préparer son départ du pays en janvier 2018, alors que, pendant ce temps, son frère a été arrêté à sa place, puis finalement libéré, son père été convoqué à un interrogatoire et son épouse menacée (pv. du 22 juillet 2019, réponse à la question 90, p. 14).</w:t>
      </w:r>
    </w:p>
    <w:p>
      <w:r>
        <w:rPr>
          <w:b/>
        </w:rPr>
        <w:t>E. 3.3</w:t>
      </w:r>
    </w:p>
    <w:p>
      <w:r>
        <w:t>Aucun changement objectif de circonstances depuis son départ du recourant du Sri Lanka n'étant intervenu, le recourant est par conséquent présumé avoir une crainte objectivement et subjectivement fondée de persécution en cas de retour et remplit ainsi les conditions de l'art. 3 LAsi pour la reconnaissance de la qualité de réfugié.</w:t>
      </w:r>
    </w:p>
    <w:p>
      <w:r>
        <w:rPr>
          <w:b/>
        </w:rPr>
        <w:t>E. 4.1</w:t>
      </w:r>
    </w:p>
    <w:p>
      <w:r>
        <w:t>En conséquence et 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et 54 LAsi, le recourant doit se voir reconnaître la qualité de réfugié, au sens de l'art. 3 LAsi, mais encore octroyer l'asile conformément aux art. 2 et 49 LAsi.</w:t>
      </w:r>
    </w:p>
    <w:p>
      <w:r>
        <w:rPr>
          <w:b/>
        </w:rPr>
        <w:t>E. 4.2</w:t>
      </w:r>
    </w:p>
    <w:p>
      <w:r>
        <w:t>Cela étant, la décision attaquée doit être annulée pour constatation inexacte de faits déterminants et violation du droit fédéral, et le recours en matière d'asile admis.</w:t>
      </w:r>
    </w:p>
    <w:p>
      <w:r>
        <w:rPr>
          <w:b/>
        </w:rPr>
        <w:t>E. 4.3</w:t>
      </w:r>
    </w:p>
    <w:p>
      <w:r>
        <w:t>S'avérant manifestement fondé, le recours est admis dans une procédure à juge unique, avec l'approbation d'un second juge (art. 111 let. e LAsi).</w:t>
      </w:r>
    </w:p>
    <w:p>
      <w:r>
        <w:rPr>
          <w:b/>
        </w:rPr>
        <w:t>E. 4.4</w:t>
      </w:r>
    </w:p>
    <w:p>
      <w:r>
        <w:t>Il est dès lors renoncé à un échange d'écritures, le présent arrêt n'étant motivé que sommairement (cf. art. 111a al. 1 et 2 LAsi),</w:t>
      </w:r>
    </w:p>
    <w:p>
      <w:r>
        <w:rPr>
          <w:b/>
        </w:rPr>
        <w:t>E. 4.5</w:t>
      </w:r>
    </w:p>
    <w:p>
      <w:r>
        <w:t>Quiconque a obtenu l'asile en Suisse a droit à une autorisation de séjour dans le canton où il séjourne légalement (cf. art. 60 al. 1 LAsi).</w:t>
      </w:r>
    </w:p>
    <w:p>
      <w:r>
        <w:rPr>
          <w:b/>
        </w:rPr>
        <w:t>E. 5.1</w:t>
      </w:r>
    </w:p>
    <w:p>
      <w:r>
        <w:t>L'arrêt final étant rendu, la demande de dispense de l'avance de frais est sans objet.</w:t>
      </w:r>
    </w:p>
    <w:p>
      <w:r>
        <w:rPr>
          <w:b/>
        </w:rPr>
        <w:t>E. 5.2</w:t>
      </w:r>
    </w:p>
    <w:p>
      <w:r>
        <w:t>Vu l'issue de la cause, il n'est pas perçu de frais (cf. art. 63 al. 1 et 2 PA). La demande d'assistance judiciaire partielle est sans objet.</w:t>
      </w:r>
    </w:p>
    <w:p>
      <w:r>
        <w:rPr>
          <w:b/>
        </w:rPr>
        <w:t>E. 6.1</w:t>
      </w:r>
    </w:p>
    <w:p>
      <w:r>
        <w:t>Conformément aux art. 64 al. 1 PA et 7 al. 1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w:t>
      </w:r>
    </w:p>
    <w:p>
      <w:r>
        <w:rPr>
          <w:b/>
        </w:rPr>
        <w:t>E. 6.2</w:t>
      </w:r>
    </w:p>
    <w:p>
      <w:r>
        <w:t>Dans la mesure où le recourant obtient gain de cause, il a droit à des dépens, de sorte que la demande d'assistance judiciaire totale est sans objet.</w:t>
      </w:r>
    </w:p>
    <w:p>
      <w:r>
        <w:rPr>
          <w:b/>
        </w:rPr>
        <w:t>E. 6.3</w:t>
      </w:r>
    </w:p>
    <w:p>
      <w:r>
        <w:t>En l'espèce, il y a lieu de fixer le montant de cette indemnité sur la base de la note de frais jointe au recours du 29 juin 2020 (art. 8 ss et art. 14 al. 2 du règlement du 21 février 2008 concernant les frais, dépens et indemnités fixés par le Tribunal administratif fédéral [FITAF, RS 173.320.2]). L'indemnité allouée à titre de dépens est ainsi arrêtée à un montant de 2'400 francs,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