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D-3324/2007 vom 19. Mai 2011</w:t>
      </w:r>
    </w:p>
    <w:p>
      <w:r>
        <w:t>Bundesverwaltungsgericht, 2011-05-19, DE</w:t>
      </w:r>
    </w:p>
    <w:p>
      <w:r>
        <w:rPr>
          <w:b/>
        </w:rPr>
        <w:t xml:space="preserve">Quelle: </w:t>
      </w:r>
      <w:r>
        <w:t>https://mcp.opencaselaw.ch/entscheid/bvger_D-3324_2007</w:t>
      </w:r>
    </w:p>
    <w:p>
      <w:r>
        <w:t>FR: TAF D-3324/2007 du 19 mai 2011</w:t>
      </w:r>
    </w:p>
    <w:p>
      <w:r>
        <w:t>IT: TAF D-3324/2007 del 19 maggio 2011</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105 AsylG i.V.m. Art. 37 VGG und Art. 50 Abs. 1 sowie Art. 52 Abs. 1 VwVG)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23 E. 2.1. S. 240 f.). Nicht beschränkt ist die Beurteilungszuständigkeit des Bundesverwaltungsgerichts im Wegweisungspunkt, da sich die Vorinstanz diesbezüglich gemäss Art. 44 AsylG i.V.m. Art. 83 des Bundesgesetzes vom 16. Dezember 2005 über die Ausländerinnen und Ausländer (AuG, SR 142.20) auch materiell zur Sache zu äussern hatte.</w:t>
      </w:r>
    </w:p>
    <w:p>
      <w:r>
        <w:rPr>
          <w:b/>
        </w:rPr>
        <w:t>E. 3.2</w:t>
      </w:r>
    </w:p>
    <w:p>
      <w:r>
        <w:t>Gemäss Art. 32 Abs. 2 Bst. f AsylG wird auf ein Asylgesuch nicht eingetreten, wenn Asylsuchende in einem Staat der Europäischen Union (EU) oder des Europäischen Wirtschaftsraums (EWR) einen ablehnenden Asylentscheid erhalten haben, ausser die Anhörung ergebe Hinweise, dass in der Zwischenzeit Ereignisse eingetreten sind, die geeignet sind, die Flüchtlingseigenschaft zu begründen, oder die für die Gewährung vorübergehenden Schutzes relevant sind.</w:t>
      </w:r>
    </w:p>
    <w:p>
      <w:r>
        <w:rPr>
          <w:b/>
        </w:rPr>
        <w:t>E. 4.1</w:t>
      </w:r>
    </w:p>
    <w:p>
      <w:r>
        <w:t>Wie weitergehende Abklärungen des Bundesverwaltungsgerichts ergeben haben, stellte die Ehefrau des Beschwerdeführers am (...) in der Schweiz ein Asylgesuch, das nach wie vor erstinstanzlich hängig ist. In dieses Verfahren ist auch das Kind P._______ (geboren am (...)) einbezogen worden, welches der Beschwerdeführer aufgrund des der Replik beigefügten Familienausweises (Beilage 34 S. 4) offensichtlich anerkannt hat.</w:t>
      </w:r>
    </w:p>
    <w:p>
      <w:r>
        <w:rPr>
          <w:b/>
        </w:rPr>
        <w:t>E. 4.2</w:t>
      </w:r>
    </w:p>
    <w:p>
      <w:r>
        <w:t>Verheiraten sich zwei Asylsuchende in der Schweiz, die unabhängig voneinander ein Asylgesuch gestellt haben, kann die Frage der Flüchtlingseigenschaft des einen nicht losgelöst von derjenigen des anderen Ehegatten geprüft werden (vgl. EMARK 1999 Nr. 1 E. 2a-d S. 5 f.). Das Gleiche gilt grundsätzlich für die Frage des Wegweisungsvollzugs, da der Grundsatz der Einheit der Familie eine nicht gleichzeitige Wegweisung von Ehegatten verbietet und die Zumutbarkeit des Wegweisungsvollzugs auf koordinierte Weise geprüft werden muss (vgl. a.a.O., E. 4 S. 6 f.). Eine solch koordinierte Prüfung drängt sich nicht nur in Bezug auf ein Ehegattenverhältnis, sondern analog auch bei einem Vater-Kind-Verhältnis auf. Da der Beschwerdeführer und dessen Ehefrau überdies unterschiedlicher Staatsangehörigkeit sind, stellt sich weiter die Frage, ob sie sich zumutbarerweise in einem der beiden Herkunftsstaaten niederlassen können. All diese Fragestellungen lassen sich erst dann einer Lösung zuführen, wenn über das Asylgesuch der Ehefrau des Beschwerdeführers erstinstanzlich befunden worden ist. Aus dem Gesagten ergibt sich, dass sich eine koordinierte Behandlung des Verfahrens des Beschwerdeführers sowie desjenigen seiner Ehefrau aufdrängt.</w:t>
      </w:r>
    </w:p>
    <w:p>
      <w:r>
        <w:rPr>
          <w:b/>
        </w:rPr>
        <w:t>E. 4.3</w:t>
      </w:r>
    </w:p>
    <w:p>
      <w:r>
        <w:t>Eine eigentliche, sinnvolle und namentlich prozessökonomische Koordination der beiden Verfahren ist nur möglich, wenn die sich stellenden Fragen bereits auf erstinstanzlicher Stufe koordiniert beantwortet werden. Dies nicht zuletzt auch deshalb, weil sich die allgemeine politische Lage im Heimatstaat der Ehefrau des Beschwerdeführers derzeit als angespannt erweist und einstweilen nicht absehbar ist, dass über ihr Asylgesuch in nächster Zeit erstinstanzlich entschieden wird. Die Koordination der beiden Verfahren auf erstinstanzlicher Stufe führt mit Blick auf die vorstehend skizzierte Rechtsprechung von EMARK 1999 Nr. 1 dazu, dass auch die Flüchtlingseigenschaft des Beschwerdeführers nochmals einer uneingeschränkten - d.h. auch unter dem Aspekt des Familienasyls gemäss Art. 51 Abs. 1 AsylG - Prüfung zugänglich gemacht werden muss, weshalb für den auf Art. 32 Abs. 2 Bst. f AsylG fussenden Nichteintretensentscheid des BFM vom 4. Mai 2007 kein Raum mehr bleibt.</w:t>
      </w:r>
    </w:p>
    <w:p>
      <w:r>
        <w:rPr>
          <w:b/>
        </w:rPr>
        <w:t>E. 5</w:t>
      </w:r>
    </w:p>
    <w:p>
      <w:r>
        <w:t>Nach dem Gesagten ist die Beschwerde gutzuheissen, die vorinstanzliche Verfügung vom 4. Mai 2007 aufzuheben und die Sache an die Vorinstanz zur koordinierten Behandlung mit dem erstinstanzlich hängigen Verfahren der Ehefrau O._______ und deren Kind P._______ (N (...)) im Sinne der vorstehenden Erwägungen zurückzuweisen.</w:t>
      </w:r>
    </w:p>
    <w:p>
      <w:r>
        <w:rPr>
          <w:b/>
        </w:rPr>
        <w:t>E. 6.1</w:t>
      </w:r>
    </w:p>
    <w:p>
      <w:r>
        <w:t>Bei diesem Ausgang des Verfahrens sind keine Verfahrenskosten aufzuerlegen (Art. 63 Abs. 1 VwVG). Das Gesuch um Gewährung der unentgeltlichen Rechtspflege im Sinne von Art. 65 Abs. 1 VwVG ist damit gegenstandslos geworden.</w:t>
      </w:r>
    </w:p>
    <w:p>
      <w:r>
        <w:rPr>
          <w:b/>
        </w:rPr>
        <w:t>E. 6.2</w:t>
      </w:r>
    </w:p>
    <w:p>
      <w:r>
        <w:t>Dem obsiegenden Beschwerdeführer ist in Anwendung von Art. 64 Abs. 1 VwVG und Art. 7 des Reglements vom 21. Februar 2008 über die Kosten und Entschädigungen vor dem Bundesverwaltungsgericht (VGKE, SR 173.320.2) zulasten der Vorinstanz eine Parteientschädigung für die ihm erwachsenen notwendigen und verhältnismässig hohen Kosten zuzusprechen. Die vom Rechtsvertreter am 14. Dezember 2010 zusammen mit der Replikschrift eingereichte aktualisierte Honorarnote erweist sich indessen bezüglich des veranschlagten Zeitaufwandes von 25.10 Stunden im Vergleich mit ähnlichen Fällen als überhöht und wird auf einen zeitlichen Gesamtaufwand von 20 Stunden gekürzt. Die Kostennote des Rechtsvertreters wird damit unter Zugrundelegung des von ihm veranschlagten Stundenansatzes von Fr. 230.- (zuzüglich 7.6 % Mehrwertsteuer) sowie einer Spesenpauschale von Fr. 154.- gerichtlich auf Fr. 5'103.60 festgesetzt.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