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D-3322/2009 vom 27. Oktober 2009</w:t>
      </w:r>
    </w:p>
    <w:p>
      <w:r>
        <w:t>Bundesverwaltungsgericht, 2009-10-27, DE</w:t>
      </w:r>
    </w:p>
    <w:p>
      <w:r>
        <w:rPr>
          <w:b/>
        </w:rPr>
        <w:t xml:space="preserve">Quelle: </w:t>
      </w:r>
      <w:r>
        <w:t>https://mcp.opencaselaw.ch/entscheid/bvger_D-3322_2009</w:t>
      </w:r>
    </w:p>
    <w:p>
      <w:r>
        <w:t>FR: TAF D-3322/2009 du 27 octobre 2009</w:t>
      </w:r>
    </w:p>
    <w:p>
      <w:r>
        <w:t>IT: TAF D-3322/2009 del 27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Hinsichtlich der Glaubhaftigkeit der Vorbringen des Beschwerdeführers ist festzuhalten, dass aufgrund seiner Aussagen erhebliche Zweifel bestehen, ob er die von ihm geschilderten Ereignisse tatsächlich erlebt hat. Es gilt diesbezüglich Folgendes festzuhalten: Vom Bestehen der begründeten Furcht im Zeitpunkt der Ausreise wird in der Regel ausgegangen, wenn zwischen einer stattgefundenen Verfolgungsmassnahme oder der anderweitigen Kenntnisnahme einer Verfolgungsgefahr und der Ausreise ein zeitlicher und sachlicher Zusammenhang besteht (vgl. WALTER STÖCKLI, Asyl, in: PETER UEBERSAX/BEAT RUDIN/THOMAS HUGI YAR/THOMAS GEISER {Hrsg.} Ausländerrecht, Handbücher für die Anwaltspraxis, Band VIII, Basel 2009, S. 531 Rz. 11.17). Gemäss eigenen Angaben will der Beschwerdeführer den Mord an einem Oppositionsmitglied beziehungsweise einem Mitglied der AL am 22. August 2005 begangen haben. Danach habe er sich vorerst während drei Monaten bei Bekannten in C. aufgehalten (vgl. A12, S. 7, F48). Es ist deshalb unverständlich und nicht nachvollziehbar, weshalb sich der Beschwerdeführer dort in ein Restaurant begeben hat, obwohl er von der Opposition verfolgt worden sein will und C. lediglich 22 km vom Tatort des Mordes entfernt liegt (vgl. A12, S. 9, F67/69 beziehungsweise S. 10, F83). Es mutet ebenso seltsam an, dass der Beschwerdeführer sein Heimatland nicht unmittelbar nach dem angeblichen Vorfall im Restaurant verliess, sondern sich noch mehr als drei Jahre in D. aufhielt (vgl. A12, S. 10, F76). In Anbetracht dieser Umstände ist der Kausalzusammenhang zwischen der angeblichen Verfolgungsgefahr und der Ausreise nicht mehr gegeben und die Glaubhaftigkeit der Vorbringen des Beschwerdeführers zu bezweifeln. Diese Zweifel werden zusätzlich durch den Umstand untermauert, dass er weder den Namen derjenigen Person, deren Kinder er in D. unterrichtet haben will noch die genaue Adresse der Familie und deren Telefonnummer hat angeben können (vgl. A12, S. 10, F75, F77/78). In der Rechtsmitteleingabe wird unter anderem geltend gemacht, der Beschwerdeführer habe zu keinem Zeitpunkt in Erwägung gezogen, sich den Behörden zu stellen, da er davon habe ausgehen müssen, ihm würde kein faires Verfahren gewährt. Dieses Vorbringen ist zumindest für den Zeitpunkt unverständlich, als noch seine Partei, die BNP, in Bangladesch an der Macht war. Unter deren Regime hätte er durchaus ein aus seiner Sicht faires Verfahren erwarten dürfen, zumal er ja den angeblichen Mord in Notwehr begangen haben will und er daher allenfalls sogar mit einem Freispruch hätte rechnen können. Da sich der Beschwerdeführer ohnehin zu keinem Zeitpunkt stellen wollte, ist der Ausreisezeitpunkt Anfang 2009 nicht nachvollziehbar. Angesichts der gesamten Sachlage sind die Vorbringen des Beschwerdeführers als unglaubhaft zu qualifizieren. Dieser Eindruck wird zusätzlich dadurch erhärtet, dass der Beschwerdeführer durch die Nichtabgabe rechtsgenüglicher Reise- oder Identitätspapiere seine Mitwirkungspflicht im Sinne von Art. 8 AsylG verletzt hat.</w:t>
      </w:r>
    </w:p>
    <w:p>
      <w:r>
        <w:rPr>
          <w:b/>
        </w:rPr>
        <w:t>E. 5.2</w:t>
      </w:r>
    </w:p>
    <w:p>
      <w:r>
        <w:t>In der Beschwerdeschrift wird im Weiteren geltend gemacht, die Vorinstanz habe es unterlassen, die eingereichten Originaldokumente durch einen professionellen Dolmetscher übersetzen zu lassen. Dieses Vorbringen ist nicht zu hören, zumal davon ausgegangen werden kann, dass das BFM aufgrund eigener Fachkenntnisse durchaus in der Lage ist abzuschätzen, ob es sich bei den eingereichten Beweismitteln um echte oder gefälschte Dokumente handelt. Da die Identität des Beschwerdeführers nicht belegt ist, können ohnehin sämtliche von ihm eingereichten Beweismittel nicht rechtsgenüglich seiner Person zugeordnet werden. Zudem ergeben sich, wie von der Vorinstanz zu Recht ausgeführt wird, hinsichtlich der eingereichten Beweismittel verschiedene Ungereimtheiten, weshalb an der Echtheit der Beweismittel Zweifel angebracht sind beziehungsweise von deren missbräuchlichen Verwendung auszugehen ist. Demzufolge besteht für das Bundesverwaltungsgericht kein Anlass, von der vorinstanzlichen Erkenntnis abzuweichen, umso mehr als es notorisch ist, dass in Bangladesch die fraglichen Dokumente leicht käuflich erwerbbar sind.</w:t>
      </w:r>
    </w:p>
    <w:p>
      <w:r>
        <w:rPr>
          <w:b/>
        </w:rPr>
        <w:t>E. 5.3</w:t>
      </w:r>
    </w:p>
    <w:p>
      <w:r>
        <w:t>Zusammenfassend hält das Bundesverwaltungsgericht fest, dass die geltend gemachten Nachteile, welche den Beschwerdeführer Anfang 2009 angeblich zur Flucht getrieben haben, unglaubhaft sind, da sie nicht genügend substanziiert und weder schlüssig noch plausibel sind. Überdies sind sie in wesentlichen Punkten widersprüchlich, entbehren der inneren Logik und widersprechen der allgemeinen Erfahrung.</w:t>
      </w:r>
    </w:p>
    <w:p>
      <w:r>
        <w:rPr>
          <w:b/>
        </w:rPr>
        <w:t>E. 5.4</w:t>
      </w:r>
    </w:p>
    <w:p>
      <w:r>
        <w:t>Aufgrund der vorstehenden Erwägungen erübrigt es sich, auf die weiteren Ausführungen in den Eingaben des Beschwerdeführers im Einzelnen einzugehen, da sie am Ergebnis der vorgenommenen Würdigung nichts zu ändern vermögen. Nach dem Gesagten erfüllt der Beschwerdeführer die Flüchtlingseigenschaft gemäss Art. 3 AsylG nicht. Das Bundesamt hat das Asylgesuch des Beschwerdeführers demnach zu Recht abgelehnt. Die missbräuchlich verwendeten Beweismittel werden - sofern sie im Original vorliegen - gestützt auf Art. 10 Abs. 4 AsylG eingezogen.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Saadi gegen Italien, Urteil vom 28. Februar 2008, Beschwerde Nr. 37201/06, §§ 124-127).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Zwar ist in Bangladesch von einer beträchtlichen Gewaltbereitschaft im Rahmen der politischen Auseinandersetzungen auszugehen, jedoch herrscht insgesamt keine Situation allgemeiner Gewalt und die dortige Lage ist nicht dermassen angespannt, als dass eine Rückführung als generell unzumutbar betrachtet werden müsste (vgl. dazu EMARK 2006 Nr. 27 E. 4.4 und 4.5). Aktuell kann nicht von einer Situation unkontrollierter Gewalt gesprochen werden. Der am 11. Januar 2007 durch den Staatspräsidenten verhängte Ausnahmezustand wurde am 17. Dezember 2008 aufgehoben (vgl. dazu COUNTRY OF ORIGIN INFORMATION REPORT BANGLADESH vom 11. August 2009, UK Border Agency [Hrsg.], Rz. 7.02 S. 45). Eine gänzlich unsichere, von bewaffneten Konflikten oder anderen unberechenbaren Unruhen dominierte Lage im Land, aufgrund derer der Beschwerdeführer sich bei einer Rückkehr unweigerlich einer konkreten Gefährdung ausgesetzt sehen würde, besteht mithin nicht.</w:t>
      </w:r>
    </w:p>
    <w:p>
      <w:r>
        <w:rPr>
          <w:b/>
        </w:rPr>
        <w:t>E. 7.6</w:t>
      </w:r>
    </w:p>
    <w:p>
      <w:r>
        <w:t>Aus den Akten ergeben sich zudem keine individuellen Gründe gegen die Zumutbarkeit des Wegweisungsvollzugs. Gemäss Aktenlage verfügt der junge und gesunde Beschwerdeführer in seinem Heimatland über ein tragfähiges Beziehungsnetz, über eine solide Schulbildung sowie über langjährige Arbeitserfahrung (A1, S. 2 f.). Nach dem Gesagten erweist sich der Vollzug der Wegweisung auch als zumutbar.</w:t>
      </w:r>
    </w:p>
    <w:p>
      <w:r>
        <w:rPr>
          <w:b/>
        </w:rPr>
        <w:t>E. 7.7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19. Juni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