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D-3321/2016 vom 19. Juni 2017</w:t>
      </w:r>
    </w:p>
    <w:p>
      <w:r>
        <w:t>Bundesverwaltungsgericht, 2017-06-19, DE</w:t>
      </w:r>
    </w:p>
    <w:p>
      <w:r>
        <w:rPr>
          <w:b/>
        </w:rPr>
        <w:t xml:space="preserve">Quelle: </w:t>
      </w:r>
      <w:r>
        <w:t>https://mcp.opencaselaw.ch/entscheid/bvger_D-3321_2016</w:t>
      </w:r>
    </w:p>
    <w:p>
      <w:r>
        <w:t>FR: TAF D-3321/2016 du 19 juin 2017</w:t>
      </w:r>
    </w:p>
    <w:p>
      <w:r>
        <w:t>IT: TAF D-3321/2016 del 19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w:t>
      </w:r>
    </w:p>
    <w:p>
      <w:r>
        <w:t>Die Vernehmlassung der Vorinstanz vom 10. Juni 2016 wurde dem Beschwerdeführer bisher nicht zur Kenntnis gebracht. Auf eine vorgängige Stellungnahme in diesem Zusammenhang kann gestützt auf Art. 30 Abs. 2 Bst. c VwVG angesichts des vorliegenden Verfahrensausgangs jedoch verzichtet werden. Die Vernehmlassung wird dem Beschwerdeführer zusammen mit dem Urteil zur Kenntnis zugeschickt.</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5.5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5.6</w:t>
      </w:r>
    </w:p>
    <w:p>
      <w:r>
        <w:t>Ein Abgleich der Fingerabdrücke des Beschwerdeführers mit der "Eurodac"-Datenbank ergab, dass dieser am 26. September 2014 in Ungarn um Asyl ersucht hatte. Die ungarischen Behörden liessen das Übernahmeersuchen innert der in Art. 25 Abs. 1 Dublin-III-VO vorgesehenen Frist unbeantwortet, womit sie die Zuständigkeit Ungarns implizit anerkannten (Art. 25 Abs. 2 Dublin-III-VO). In der Rechtsmitteleingabe wird die Zuständigkeit Ungarns bestritten, weil der Beschwerdeführer dort gar nicht um Asyl ersucht habe. Aufgrund der nachfolgenden Ausführungen in E. 6 kann darauf verzichtet werden, eingehend auf die Vorbringen des Beschwerdeführers bezüglich der Bestimmung der Zuständigkeit Ungarns einzugehen. Es ist lediglich darauf hinzuweisen, dass für die Bestimmung der Zuständigkeit Ungarns unerheblich ist, ob er dort um Asyl nachgesucht hatte, wurde er dort gemäss eigenen Aussagen daktyloskopisch erfasst (vgl. [...]). Massgebend ist in diesem Zusammenhang, dass der Beschwerdeführer die Landgrenze Ungarns illegal überschritt, was die Zuständigkeit dieses Mitgliedstaates für die Prüfung des Antrages auf internationalen Schutz auslöste (Art. 13 Abs. 1 Dublin-III-VO). Damit ist die grundsätzliche Zuständigkeit Ungarns gegeben.</w:t>
      </w:r>
    </w:p>
    <w:p>
      <w:r>
        <w:rPr>
          <w:b/>
        </w:rPr>
        <w:t>E. 6.1</w:t>
      </w:r>
    </w:p>
    <w:p>
      <w:r>
        <w:t>Im Lichte von Art. 3 Abs. 2 Dublin-III-VO ist weiter zu prüfen, ob es wesentliche Gründe für die Annahme gibt, das Asylverfahren und die Aufnahmebedingungen für Asylsuchende in Ungarn würden systemische Schwachstellen aufweisen, die eine Gefahr einer unmenschlichen oder entwürdigenden Behandlung im Sinne von Art. 4 EU-Grundrechtecharta mit sich bringen und welche die grundsätzliche Zuständigkeit Ungarns im Sinne von Art. 3 Abs. 1 Dublin-III-VO durchbrechen würden</w:t>
      </w:r>
    </w:p>
    <w:p>
      <w:r>
        <w:rPr>
          <w:b/>
        </w:rPr>
        <w:t>E. 6.2</w:t>
      </w:r>
    </w:p>
    <w:p>
      <w:r>
        <w:t>Das Bundesverwaltungsgericht hat im Urteil D-7853/2015 vom 31. Mai 2017 (als Referenzurteil publiziert)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laufenden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des BVGer D-7853/2015 vom 31. Mai 2017 E. 13).</w:t>
      </w:r>
    </w:p>
    <w:p>
      <w:r>
        <w:rPr>
          <w:b/>
        </w:rPr>
        <w:t>E. 6.3</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wurde.</w:t>
      </w:r>
    </w:p>
    <w:p>
      <w:r>
        <w:rPr>
          <w:b/>
        </w:rPr>
        <w:t>E. 7.1</w:t>
      </w:r>
    </w:p>
    <w:p>
      <w:r>
        <w:t>Bei diesem Ausgang des Verfahrens sind keine Kosten zu erheben (Art. 63 Abs. 1 und 2 VwVG).</w:t>
      </w:r>
    </w:p>
    <w:p>
      <w:r>
        <w:rPr>
          <w:b/>
        </w:rPr>
        <w:t>E. 7.2</w:t>
      </w:r>
    </w:p>
    <w:p>
      <w:r>
        <w:t>Gemäss Art. 64 Abs. 1 VwVG in Verbindung mit Art. 37 VGG kann die Beschwerdeinstanz der ganz oder teilweise obsiegenden Partei von Amtes wegen oder auf Begehren hin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(Art. 14 Abs. 2 VGKE), weil im vorliegenden Verfahren der Aufwand zuverlässig abgeschätzt werden kann. Gestützt auf die in Betracht zu ziehenden Bemessungsfaktoren (Art. 9-13 VGKE) ist die Parteientschädigung auf Fr. 900.- (inkl. Auslagen und Mehrwertsteuer) festzusetzen. Dieser Betrag ist dem Beschwerdeführer durch das SEM zu entrichten.</w:t>
      </w:r>
    </w:p>
    <w:p>
      <w:r>
        <w:rPr>
          <w:b/>
        </w:rPr>
        <w:t>E. 7.3</w:t>
      </w:r>
    </w:p>
    <w:p>
      <w:r>
        <w:t>Damit werden die Gesuche um Gewährung der unentgeltlichen Rechtspflege inklusive Rechtsverbeiständung und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