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D-3319/2014 vom 1. Juli 2014</w:t>
      </w:r>
    </w:p>
    <w:p>
      <w:r>
        <w:t>Bundesverwaltungsgericht, 2014-07-01, DE</w:t>
      </w:r>
    </w:p>
    <w:p>
      <w:r>
        <w:rPr>
          <w:b/>
        </w:rPr>
        <w:t xml:space="preserve">Quelle: </w:t>
      </w:r>
      <w:r>
        <w:t>https://mcp.opencaselaw.ch/entscheid/bvger_D-3319_2014</w:t>
      </w:r>
    </w:p>
    <w:p>
      <w:r>
        <w:t>FR: TAF D-3319/2014 du 1 juillet 2014</w:t>
      </w:r>
    </w:p>
    <w:p>
      <w:r>
        <w:t>IT: TAF D-3319/2014 del 1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 Gestützt auf Art. 33a Abs. 2 VwVG i.V.m. Art. 6 AsylG ergeht der vorliegende Entscheid in deutscher Sprache.</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konnte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6.1</w:t>
      </w:r>
    </w:p>
    <w:p>
      <w:r>
        <w:t>Der Beschwerdeführer wurde nicht zu seinem Asylgesuch befragt. Ihm wurde jedoch mit Zwischenverfügung des BFM vom 27. Juni 2013 ein Katalog von für die vollständige Erstellung des rechtserheblichen Sachverhalts noch zu beantwortenden offenen Fragen zugestellt, wozu er am 6. November 2013 schriftlich Stellung nahm (vgl. Sachverhalt B). Der entscheidwesentliche Sachverhalt erscheint angesichts der schriftlichen Darlegung der Asylgründe soweit erstellt, dass die entscheidrelevanten Elemente vorliegen.</w:t>
      </w:r>
    </w:p>
    <w:p>
      <w:r>
        <w:rPr>
          <w:b/>
        </w:rPr>
        <w:t>E. 6.2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7.1</w:t>
      </w:r>
    </w:p>
    <w:p>
      <w:r>
        <w:t>Das BFM führte zur Begründung seiner Verfügung im Wesentlichen aus, die schriftlichen Vorbringen des Beschwerdeführers liessen darauf schliessen, dass er ernstzunehmende Schwierigkeiten mit den eritreischen Behörden habe. Es sei zu prüfen, ob einer allfälligen Asylgewährung durch die Schweiz der Asylausschlussgrund von aArt. 52 Abs. 2 AsylG entgegenstehen würde. Laut Berichten des UNHCR befänden sich zahlreiche eritreische Flüchtlinge und Asylbewerber im Sudan. Vor diesem Hintergrund verkenne das BFM nicht, dass die Lage vor Ort für diese Menschen wie auch für den Beschwerdeführer nicht einfach sei. Dennoch würden keine konkreten Anhaltspunkte für die Annahme bestehen, dass ein weiterer Verbleib im Sudan für ihn nicht zumutbar oder möglich wäre. Vom UNHCR im Sudan registrierte Flüchtlinge seien einem Flüchtlingslager zugeteilt worden, wo sie sich aufzuhalten hätten und die nötige Versorgung erhielten, wobei sie über kein freies Aufenthaltsrecht für das ganze Land verfügten. Dem Beschwerdeführer sei daher zuzumuten, beim UNHCR um Schutz zu ersuchen, falls seine Situation tatsächlich kritisch sein sollte. Seine Befürchtung, nach Eritrea zurückgeschafft zu werden, werde als unbegründet erachtet. Gemäss gesicherten Erkenntnissen sei das Risiko einer Deportation oder Verschleppung für im Sudan vom UNHCR anerkannte Flüchtlinge gering. Das UNHCR registriere vor Ort sämtliche Eritreer, die sich in einem Flüchtlingslager meldeten, unabhängig davon, weshalb sie Eritrea verlassen hätten. In casu lägen keine konkreten Anhaltspunkte dafür vor, dass dem Beschwerdeführer eine Rückführung nach Eritrea drohen könnte. So verfüge er gemäss den Akten nicht über ein geeignetes Risikoprofil, das eine Befürchtung vor einer Verschleppung nach Eritrea objektiv begründen könnte. Es sei ihm nicht gelungen glaubhaft darzulegen, persönlich faktisch und unmittelbar bedroht zu sein, um unter Verletzung des Non-Refoulement-Prinzips nach Eritrea zurückgeschafft zu werden. Da er den Flüchtlingsstatus durch das UNHCR erhalten habe oder diesen erwerben könnte, habe er jederzeit die Möglichkeit, sich bei einer Vertretung des UNHCR im Sudan zu melden. Das UNHCR habe den Sudan, welcher dem Abkommen über die Rechtsstellung der Flüchtlinge (FK, SR 0.142.30) beigetreten sei, an seine internationalen Verpflichtungen erinnert. Das Leben in Khartum sei für eritreische Flüchtlinge gewiss nicht einfach. In Anbetracht, dass der Beschwerdeführer Arbeit gefunden habe und sich die Kosten für den Lebensunterhalt mit einem Freund teilen könne, könne davon ausgegangen werden, dass die Hürden für eine zumutbare Existenz in Khartum in casu trotz seiner schwierigen Situation als Flüchtling und seiner Befürchtungen bezüglich seiner Sicherheit nicht unüberwindbar seien. Das BFM bedaure die Entführung des Beschwerdeführers im Jahr 2010 und die für ihn daraus entstandenen Schwierigkeiten. Der Vorfall liege mittlerweile mehr als drei Jahre zurück und aus den Akten liessen sich keine Hinweise dafür entnehmen, dass es seither ihm gegenüber seitens unbekannter Dritter zu Übergriffen gekommen sei. Überdies könnte er sich auf eine grosse im Sudan lebende eritreische Diaspora stützen, die für in Not geratene Landsleute bereitstehe und weitgehend Unterstützung biete. Schliesslich lebe gemäss den Angaben des Beschwerdeführers dessen Cousin G._______ in der Schweiz. Obwohl er damit hier über einen Anknüpfungspunkt verfüge, sei dieser nicht derart gewichtig, dass eine Abwägung der Gesamtumstände im Sinne von aArt. 52 AsylG dazu führen müsste, dass es gerade die Schweiz sei, welche den erforderlichen Schutz gewähren soll. Alleine die Anwesenheit des Cousins bedeute noch keine enge Bindung mit der Schweiz im dem Sinne, dass aArt. 52 Abs. 2 AsylG nicht zu Anwendung käme. Aufgrund dessen sei keine besondere Beziehungsnähe gegeben, welche die vorangegangenen Feststellungen umzustossen vermöge.</w:t>
      </w:r>
    </w:p>
    <w:p>
      <w:r>
        <w:rPr>
          <w:b/>
        </w:rPr>
        <w:t>E. 7.2</w:t>
      </w:r>
    </w:p>
    <w:p>
      <w:r>
        <w:t>Die Beschwerde beschränkt sich sinngemäss auf eine Wiederholung der bisherigen Vorbringen. Zusätzlich wird ausgeführt, dass die Feindseligkeiten der sudanesischen Bevölkerung und die Razzien der Sicherheitskräfte und Polizei gegen Asylsuchende und Flüchtlinge zugenommen hätten und viele von ihnen deportiert und Berichten zufolge in Gefängnissen in Eritrea inhaftiert worden seien. Auch sei die Verpflegung im Lager unzureichend, weshalb man dort nur mit Unterstützung von aussen leben könne. Der Beschwerdeführer habe jedoch niemanden, der ihm helfen könnte (vgl. Beschwerde).</w:t>
      </w:r>
    </w:p>
    <w:p>
      <w:r>
        <w:rPr>
          <w:b/>
        </w:rPr>
        <w:t>E. 7.3</w:t>
      </w:r>
    </w:p>
    <w:p>
      <w:r>
        <w:t>Die Überprüfung der Akten ergibt, dass das BFM - wenn auch mit zu wenig differenzierter Begründung - dem Beschwerdeführer zu Recht die Einreise in die Schweiz verweigert und das Asylgesuch abgelehnt hat.</w:t>
      </w:r>
    </w:p>
    <w:p>
      <w:r>
        <w:rPr>
          <w:b/>
        </w:rPr>
        <w:t>E. 7.3.1</w:t>
      </w:r>
    </w:p>
    <w:p>
      <w:r>
        <w:t>Die Vorinstanz ging in der angefochtenen Verfügung vom Bestehen einer Gefährdungssituation im Heimatstaat des Beschwerdeführers aus. Sie führte aus, die Ausführungen im Auslandgesuch sowie in der Stellungnahme liessen darauf schliessen, dass der Beschwerdeführer ernstzunehmende Schwierigkeiten mit den eritreischen Behörden habe. Diese Einschätzung trifft indessen nicht zu. Der Beschwerdeführer machte zwar im Sinne einer Reflexverfolgung geltend, dass er - vermutungsweise wegen der Zugehörigkeit seines Vaters zur politischen Opposition - vom (...) 2000 an inhaftiert gewesen sei, bis ihm am (...) 2005 die Flucht aus dem Gefängnis von B._______ gelungen sei. Diesbezüglich reichte er als Beweismittel eine Reiseerlaubnis des Gefängnisses von B._______ vom (...) 2002 ein und führte dazu aus, diese sei ihm wegen schwerer Erkrankung an (...) für eine medizinische Behandlung in H._______ erteilt worden, wobei er von (...) begleitet worden sei. Eine Inhaftierung des Beschwerdeführers kann zwar nicht ausgeschlossen werden. Indessen schilderte er die Umstände der Flucht aus der Gefangenschaft derart unsubstanziiert - es sei ihnen gelungen, den Gefängniszaun zu durchbrechen (...) -, dass sie nicht glaubhaft erscheint. Gestützt auf den dargelegten Sachverhalt kann auch nicht von einer Desertion des Beschwerdeführers ausgegangen werden. Allerdings ist zu dessen Gunsten davon auszugehen, dass er sein Heimatland illegal, das heisst ohne behördliches Ausreisevisum, im dienstpflichtigen Alter, welches für Männer und Frauen vom 18. bis zum 40. Lebensjahr dauert, verlassen hat. Deshalb würde ihm bei einer Rückkehr in den Heimatstaat eine Freiheitsstrafe bis zu fünf Jahren drohen (vgl. Art. 11 und Art. 29 der "Proclamation No. 24/1992", welche die Ein- und Ausreise nach und von Eritrea regelt). Die begründete Furcht des Beschwerdeführers, bei einer Rückkehr nach Eritrea ernsthaften Nachteilen im Sinne von Art. 3 AsylG ausgesetzt zu werden, entstand mithin erst durch seine illegale Ausreise aus seinem Heimatstaat. Wie diesbezüglich aber bereits vorstehend unter E. 5.3 festgehalten, wäre dem Beschwerdeführer unter diesen Umständen die Einreise selbst im Falle des Bestehens der Flüchtlingseigenschaft und der Beziehungsnähe zur Schweiz nicht zu bewilligen, da er aufgrund subjektiver Nachfluchtgründe vom Asyl auszuschliessen wäre (vgl. zu subjektiven Nachfluchtgründen BVGE 2009/29 E. 6.2-6.5 [Präzisierung der Rechtsprechung]; im eritreischen Kontext: Urteil des Bundesverwaltungsgerichts D-3892/2008 vom 6. April 2010 E. 5.3-5.3.3).</w:t>
      </w:r>
    </w:p>
    <w:p>
      <w:r>
        <w:rPr>
          <w:b/>
        </w:rPr>
        <w:t>E. 7.3.2</w:t>
      </w:r>
    </w:p>
    <w:p>
      <w:r>
        <w:t>Mithin erübrigt sich bei dieser Konstellation die Prüfung der Frage der Zumutbarkeit eines Verbleibs im Drittstaat Sudan. Ungeachtet dessen kann an dieser Stelle noch kurz festgehalten werden, dass es dem Beschwerdeführer in Übereinstimmung mit der Vorinstanz durchaus zuzumuten wäre, sich weiterhin im Sudan aufzuhalten: Gemäss gesicherten Erkenntnissen ist nämlich einerseits das Risiko einer Deportation oder Verschleppung für im Sudan vom UNHCR als Flüchtlinge anerkannte Personen gering und anderseits erweist sich das pauschale Argument betreffend eine Zunahme von Feindseligkeiten gegenüber Flüchtlingen als zu wenig substanziiert, zumal der Beschwerdeführer sich mittlerweile seit mehr als acht Jahren im Sudan aufhält und dort vom UNHCR registriert ist. Schliesslich vermöchte auch die Anwesenheit eines Cousins in der Schweiz keine besondere Beziehungsnähe zur Schweiz zu begründen.</w:t>
      </w:r>
    </w:p>
    <w:p>
      <w:r>
        <w:rPr>
          <w:b/>
        </w:rPr>
        <w:t>E. 7.4</w:t>
      </w:r>
    </w:p>
    <w:p>
      <w:r>
        <w:t>Zusammenfassend ist festzustellen, dass es dem Beschwerdeführer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dem Beschwerdeführer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