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D-3318/2006 vom 19. November 2009</w:t>
      </w:r>
    </w:p>
    <w:p>
      <w:r>
        <w:t>Bundesverwaltungsgericht, 2009-11-19, DE</w:t>
      </w:r>
    </w:p>
    <w:p>
      <w:r>
        <w:rPr>
          <w:b/>
        </w:rPr>
        <w:t xml:space="preserve">Quelle: </w:t>
      </w:r>
      <w:r>
        <w:t>https://mcp.opencaselaw.ch/entscheid/bvger_D-3318_2006</w:t>
      </w:r>
    </w:p>
    <w:p>
      <w:r>
        <w:t>FR: TAF D-3318/2006 du 19 novembre 2009</w:t>
      </w:r>
    </w:p>
    <w:p>
      <w:r>
        <w:t>IT: TAF D-3318/2006 del 19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sowie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es bestehe ein enger Zusammenhang zwischen den Vorbringen der Beschwerdeführerin und denjenigen ihres Ehemannes. Konkret habe die Beschwerdeführerin eine Anschlussverfolgung geltend gemacht, die direkt auf die angebliche Verfolgung ihres Ehemannes zurückzuführen sei. Dies wiederum bedeute, dass die Glaubhaftigkeit der Vorbringen des Ehemannes auch die Glaubhaftigkeit der Vorbringen der Beschwerdeführerin präjudiziere. In Ermangelung einer Verfolgungssituation des Ehemannes bestehe somit kein Anlass zur Annahme, die Drogenbande und die bolivianischen Behörden hätten Gründe gehabt, die Beschwerdeführerin und ihre Kinder zu behelligen. Überdies habe die Beschwerdeführerin widersprüchliche Angaben bezüglich ihrer Verfolgungssituation gemacht. So habe sie bei der Kurzbefragung in der Empfangsstelle ausgesagt, dass im Jahre V._______ Polizisten ins Haus in G._______ eingedrungen seien und ihren Ehemann geschlagen hätten. Bei der kantonalen Anhörung habe sie jedoch zu Protokoll gegeben, es seien drei Männer ins Haus eingedrungen und einer davon sei ein Polizist gewesen, welcher von den Nachbarn erkannt worden sei. Bei der ergänzenden Anhörung durch das BFF habe sie wiederum eine andere Version zu Protokoll gegeben, indem sie behauptet habe, es seien Angehörige der Armee gewesen, denn zwei Männer hätten Armeeuniformen getragen. Von den drei Männern seien nur zwei ins Haus eingedrungen. Der Dritte habe draussen gewartet. Im Rahmen des rechtlichen Gehörs habe die Beschwerdeführerin zu Protokoll gegeben, sie wisse nicht mehr, was sie bei den vorangegangenen Befragungen ausgesagt habe. Zudem seien die Polizei und das Militär das gleiche. Im Weiteren habe die Beschwerdeführerin bei der kantonalen Anhörung geltend gemacht, sie habe sich T._______ drei bis vier Monate lang in einer Kirche versteckt gehalten. Zu einem späteren Zeitpunkt der Befragung habe sie hingegen geltend gemacht, es sei im Jahre V._______ gewesen, nämlich nachdem ihr Mann zusammengeschlagen worden sei, als sie sich in der Kirche versteckt habe. Ferner habe die Beschwerdeführerin widersprüchliche Angaben zur angeblichen (...) vorgebracht. So habe sie bei der kantonalen Anhörung erklärt, es hätten sie im U._______ zwei Männer in ein Taxi gestossen und zu einem abgelegenen Haus gebracht. Als sie bei diesem Haus zusammen mit den beiden Männern aus dem Taxi ausgestiegen sei, sei der Chauffeur des Taxis fortgefahren. Im Widerspruch dazu habe sie bei der BFF-Befragung behauptet, der Chauffeur des Taxis habe draussen vor dem Haus gewartet. Im Rahmen des rechtlichen Gehörs habe sie vorgebracht, sie wisse dies nicht genau, womit der Widerspruch jedoch bestehen bleibe. Überdies habe sie bei der kantonalen Anhörung geltend gemacht, sämtliche anderen Zimmer des Hauses seien verschlossen gewesen. Bei der ergänzenden Anhörung durch das BFF habe sie jedoch ausgesagt, sie habe, als sie den Ausgang gesucht habe, ein paar Türen geöffnet und gesehen, dass es andere Zimmer gewesen seien. Auf diesen Widerspruch aufmerksam gemacht, habe die Beschwerdeführerin erklärt, es seien sämtliche Türen verschlossen gewesen. Mit dieser Aussage bleibe der Widerspruch jedoch bestehen. Weiter habe die Beschwerdeführerin einen Bericht (Nennung Beweismittel) eingereicht. Darin werde festgehalten, dass (Darlegung des Inhalts des Berichts und teilweise Würdigung durch die Vorinstanz). Überdies beinhalte der Bericht Angaben der Beschwerdeführerin, welche keine Stütze in den Befragungsprotokollen finden würden. Die Beschwerdeführerin habe bei der kantonalen Anhörung nämlich eindeutig zu Protokoll gegeben, dass sie infolge (...) geworden sei, (...). Auf den Inhalt des Berichtes (...) angesprochen, habe die Beschwerdeführerin erklärt, die (...) müsse etwas verwechselt haben, da sie dieser gesagt habe, dass sie einmal wegen eines Sturzes (...) gehabt habe. Dieser Vorfall habe sich jedoch viel früher ereignet. Die Vorbringen der Beschwerdeführerin und ihres Ehemannes, die als Grundlage für die Diagnose (Darlegung Diagnose) gedient hätten, seien nach dem Gesagten unglaubhaft. Bei dieser Sachlage erfüllten die Vorbringen der Beschwerdeführerin die Anforderungen an die Glaubhaftigkeit gemäss Art. 7 AsylG nicht.</w:t>
      </w:r>
    </w:p>
    <w:p>
      <w:r>
        <w:rPr>
          <w:b/>
        </w:rPr>
        <w:t>E. 3.2</w:t>
      </w:r>
    </w:p>
    <w:p>
      <w:r>
        <w:t>Im Urteil gleichen Datums des Bundesverwaltungsgerichts den Ehemann der Beschwerdeführerin betreffend (vgl. I._______) wurde festgehalten, dass die von diesem angeführten Asylgründe sowie die in diesem Zusammenhang zur Stützung derselben eingereichten Beweismittel den Anforderungen von Art. 7 AsylG an die Glaubhaftigkeit nicht zu genügen vermögen. Ferner vermöge auch bei Wahrunterstellung die vom Beschwerdeführer geltend gemachte Bedrohungslage keine Asylrelevanz zu begründen. Da die Beschwerdeführerin ihre Asylgründe im Wesentlichen auf diejenigen ihres Ehemannes stützt respektive eine Anschlussverfolgung geltend macht, die sich von der Bedrohungslage ihres Ehemannes herleite, sind diesbezüglich die Glaubhaftigkeit und auch die Asylrelevanz der Vorbringen der Beschwerdeführerin zu verneinen. Zudem erweisen sich die Aussagen der Beschwerdeführerin zu ihren eigenen Asylgründen in wesentlichen Punkten als unglaubhaft. Soweit die Beschwerdeführerin in ihrer Rechtsmitteleingabe rügt, die Vorinstanz habe ihr in kleinlicher Weise bezüglich angeblich unterschiedlicher Aussagen Vorhalte gemacht, ist entgegenzuhalten, dass die von der Vorinstanz angegebenen Differenzen nicht bloss untergeordneter Natur sind. So müssen Asylbewerber im Rahmen der Befragungen lediglich selber Erlebtes wiedergeben und brauchen nicht komplizierte und abstrakte Erörterungen anzustellen. Es darf daher erwartet werden, dass Asylbewerber in der Lage sind, ihre Vorbringen auch nach längerem Zeitablauf zumindest in den wesentlichen Zügen wiederholt übereinstimmend vorzutragen. Weiter wendet die Beschwerdeführerin ein, es möge zwar zutreffen, dass ihre Aussagen betreffend ihre (...) gewisse Differenzen aufweisen würden. Entscheidend sei jedoch, dass ihre Ausführungen im Kernbereich identisch seien. Die von der Vorinstanz akribisch aufgelisteten Abweichungen seien auf die Folgen ihrer traumatischen Erlebnisse zurückzuführen, weshalb es nachvollziehbar sei, dass gewisse Erinnerungslücken auftreten würden. Im Übrigen habe sie ein (...) Zeugnis eingereicht, welches das geltend gemachte Ereignis indirekt belege. Das Bundesamt bringe vor, das erwähnte Zeugnis vermöge nicht zu überzeugen, da es auf einem Sachverhalt beruhe, der selber von der Beschwerdeführerin nicht geltend gemacht worden sei. Sie habe diesbezüglich während der Befragung ausgeführt, dass sie offenbar von (...) falsch verstanden worden sei; ein solches Missverständnis sei immer denkbar. Dies heisse aber nicht, dass die solcherart erstellte Diagnose deshalb als wertlos erachtet werden müsse. Die (...) habe die typischen Symptome (Nennung Erkrankung) festgestellt, welche ohne Weiteres zu den von ihr geschilderten Übergriffen passen würden. Zwar kann das auf Beschwerdeebene behauptete Aussageverhalten der Beschwerdeführerin (Erinnerungslücken) auf Merkmale psychischer Störungen hinweisen, welche eine Tendenz aufweisen, der bewussten Auseinandersetzung mit belastenden Erlebnissen auszuweichen. Es ist heute durch eine Vielzahl von Studien und Erfahrungsberichten belegt, dass Folteropfer weitgehend unfähig sind, über das Erlebte zu berichten, solange nicht ein Klima des Vertrauens hergestellt ist, um das Vorgefallene in so sensiblen Bereichen zu offenbaren. So gehören zu den häufigsten Traumata entweder eine ernsthafte Bedrohung des eigenen Lebens beziehungsweise der körperlichen Integrität (etwa Folter und Vergewaltigungen), ernsthafte Bedrohung oder Schädigung der eigenen Kinder, des Ehepartners oder naher Verwandter sowie die plötzliche Zerstörung des eigenen Zuhauses. Zu den Folgen gehören auch Gedächtnisschwäche oder Konzentrationsschwierigkeiten. Jedoch leiden nicht nur Folteropfer unter der posttraumatischen Belastungsstörung, sie kann bei allen Menschen auftreten, die einem Trauma ausgesetzt waren. Diesbezüglich ist vorliegend zunächst festzustellen, dass die Beschwerdeführerin anlässlich der kantonalen Anhörung ausdrücklich auf die Möglichkeit, die im Ansatz geschilderte (...) einem ausschliesslich aus Frauen zusammengesetzten Team gegenüber detailliert zu schildern, aufmerksam gemacht wurde. Die Beschwerdeführerin erklärte daraufhin, sie sei bereit, schon hier und heute dem Befragerteam darüber auszusagen (vgl. A11/32, S. 11 oben). Weiter wird aus den Akten ersichtlich, dass es der Beschwerdeführerin sowohl anlässlich der kantonalen Anhörung als auch bei der späteren ergänzenden Bundesanhörung möglich war, über die angebliche (...) detailliert zu berichten, weshalb der in der Beschwerdeschrift angeführte Einwand von Erinnerungslücken bei der Schilderung des Vorfalls als nicht stichhaltig erachtet werden kann. Ferner lassen gewichtige, während des Asylverfahrens in den Befragungen aufgetretene Widersprüche und Ungereimtheiten nicht auf eine (Nennung Erkrankung) aufgrund des geltend gemachten Vorkommnisses schliessen. Die Vorinstanz führte im angefochtenen Entscheid zu Recht einige Widersprüche an, die von der Beschwerdeführerin nicht plausibel entkräftet werden konnten. Hinzu kommt, dass die Beschwerdeführerin beim Kanton zunächst angab, bei den (...) habe es sich um Angehörige einer Drogenbande gehandelt, da der Eine der beiden Männer sie auch wiederholt auf der Strasse angehalten und nach dem Aufenthaltsort ihres Mannes gefragt habe (vgl. A11/32, S. 11 unten und S. 12 oben). Demgegenüber führte sie etwas später an, die Männer seien Angehörige der Armee gewesen, da deren Hosen seitliche Hosentaschen gehabt hätten und diese Personen die gleichen Stiefel getragen hätten wie die Soldaten der bolivianischen Armee (vgl. A11/32, S. 13 unten). In diesem Zusammenhang erstaunt es jedoch, dass die Beschwerdeführerin solche Details überhaupt hätte wahrnehmen können, sei doch bei der Entführung alles sehr schnell gegangen und es seien ihr, gleich nachdem sie ins Taxi gezerrt worden sei, die Augen verbunden worden und die Augenbinde habe sie erst abgenommen, nachdem die Männer das Haus wieder verlassen gehabt hätten, (vgl. A20/10, S. 5; A11/32, S. 14 und 15). Ausserdem wäre es der Beschwerdeführerin mit übergestreifter Augenbinde kaum möglich gewesen zu erkennen, wo der zweite Mann gestanden sei, der sie an den Handgelenken festgehalten haben soll (vgl. A11/32, S. 14 unten). Überdies führte die Beschwerdeführerin beim Kanton an, die Augenbinde sei ihr im Zimmer des Hauses angelegt worden (vgl. A11/32, S. 11), währenddem sie anlässlich der ergänzenden Bundesanhörung ausführte, die Augenbinde habe man ihr bereits im Taxi angelegt (A20/10, S. 5). Auch der Hinweis auf eine bei der Beschwerdeführerin durch eine (...) diagnostizierte (Darlegung Diagnose) vermag, wie sich aus den folgenden Erwägungen ergibt, nicht einen Hinweis auf eine Verfolgung im Sinne von Art. 3 AsylG zu liefern. Zur Beurteilung der Beweiskraft sind weder die Herkunft des Beweismittels noch dessen Bezeichnung als Bericht oder Expertise massgeblich; die Beweiskraft eines ärztlichen Berichts kann daher nur verneint werden, wenn der Richter über konkrete Indizien verfügt, welche geeignet sind, die Zuverlässigkeit dieses Berichts in Zweifel zu ziehen (vgl. EMARK 2002 Nr. 18 E. 4a.aa S. 145 f.). Ärztliche Berichte, die von Asylsuchenden eingereicht werden, unterliegen der freien richterlichen Beweiswürdigung (vgl. EMARK 2002 Nr. 13 E. 6c S. 115; Claudia Cotting-Schalch, La pratique de la Commission suisse de recours en matière d'asile relative à l'appréciation de documents médicaux, in: Asyl 3/02, S. 16). In casu wird eine Traumatisierung der Beschwerdeführerin seitens des Bundesverwaltungsgerichts nicht grundsätzlich bezweifelt. Was indes die Feststellbarkeit der Ursachen einer Traumatisierung betrifft, so hat die ehemalige ARK bereits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zumal auch nicht jedes festgestellte Erscheinungsbild einer seelischen Traumatisierung oder jedes Krankheitsbild einer posttraumatischen Belastungsstörung auf Folter und menschenrechtswidriger Behandlung in einem Verfolgungskontext beruhen muss. Für das Vorliegen entsprechender Symptome kann es auch andere Ursachen, wie Unfälle, Naturkatastrophen, Entwurzelungsprozesse, interfamiliäre Spannungen (Fehlgeburten, schwere Erkrankungen oder Tod von Familienmitgliedern usw.), geben. Somit bildet die bei der Beschwerdeführerin diagnostizierte (Darlegung Diagnose) keinen Hinweis für asylrechtlich relevante Ereignisse. Wie oben bereits ausführlich dargelegt wurde, sind die Asylvorbringen der Beschwerdeführerin zu Recht als unglaubhaft erachtet worden und es bestehen berechtigte Zweifel an dem geltend gemachten (...). Zudem ist diesbezüglich noch zu berücksichtigen, dass das eingereichte Zeugnis lediglich auf den Angaben der Beschwerdeführerin beruht und die darin enthaltenen Ausführungen teilweise im Widerspruch zu ihren Aussagen anlässlich der durchgeführten Befragungen, so hinsichtlich nachfolgender medizinischer Komplikationen, (Darlegung weiterer Beispiele), stehen. Der diesbezügliche Einwand der Beschwerdeführerin, dass die (...) etwas verwechselt haben müsse, da sie dieser gesagt habe, sie habe einmal infolge eines Sturzes einen (...) erlitten, vermag schon daher nicht zu überzeugen, da es sich bei einem (...) und einer (...) zwar im Resultat, nicht aber bezüglich des Willens der Betroffenen um den gleichen Sachverhalt handelt, welcher von der (...) in korrekter Weise hätte auseinandergehalten werden können, hätte die Beschwerdeführerin ihr gegenüber tatsächlich den angeführten Einwand vorgebracht. Bei dieser Sachlage sind den eingereichten medizinischen Unterlagen keine stichhaltigen Hinweise auf eine asylrelevante Verfolgung zu entnehmen.</w:t>
      </w:r>
    </w:p>
    <w:p>
      <w:r>
        <w:rPr>
          <w:b/>
        </w:rPr>
        <w:t>E. 3.3</w:t>
      </w:r>
    </w:p>
    <w:p>
      <w:r>
        <w:t>Zusammenfassend ist festzustellen, dass die Beschwerdeführerin und ihre Kinder keine Verfolgung im Sinne von Art. 3 AsylG glaubhaft machen und nicht als Flüchtlinge anerkannt werden können. Mangels erfüllter Flüchtlingeigenschaft ist ihnen zu Recht das nachgesuchte Asyl nicht gewährt worden.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und ihre Kinder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6.1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w:t>
      </w:r>
    </w:p>
    <w:p>
      <w:r>
        <w:rPr>
          <w:b/>
        </w:rPr>
        <w:t>E. 6.2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zur Publikation vorgesehenes Urteil BVGE D-3357/2006 vom 9. Juli 2009 E. 9.3.2, mit weiteren Hinweisen).</w:t>
      </w:r>
    </w:p>
    <w:p>
      <w:r>
        <w:rPr>
          <w:b/>
        </w:rPr>
        <w:t>E. 7.1</w:t>
      </w:r>
    </w:p>
    <w:p>
      <w:r>
        <w:t>Zunächst ist festzustellen, dass sich aus der allgemeinen Lage in Bolivien - auch in Berücksichtigung der derzeit herrschenden innenpolitischen Spannungen - kein Wegweisungshindernis ableiten lässt, da heute nicht von einer dort herrschenden Situation allgemeiner Gewalt oder Bürgerkrieg gesprochen werden kann.</w:t>
      </w:r>
    </w:p>
    <w:p>
      <w:r>
        <w:rPr>
          <w:b/>
        </w:rPr>
        <w:t>E. 7.2</w:t>
      </w:r>
    </w:p>
    <w:p>
      <w:r>
        <w:t>Bezüglich des vorliegend zu berücksichtigenden Aspekts des Kindeswohls ergibt sich aus den Akten folgende Sachlage: Die Beschwerdeführerin hält sich zusammen mit ihrem Ehemann und ihren beiden Kindern im Alter von (...) Jahren seit über zehn Jahren in der Schweiz auf. Beide Kinder verbrachten den Hauptteil beziehungsweise die prägendsten Jahre ihrer Kindheit in der Schweiz. Sie sind eingeschult und die in diesem Zusammenhang eingereichten Schul- und Kindergartenberichte aus den Jahren S._______ attestieren beiden Kindern bereits eine sehr gute schulische Integration. Nicht zuletzt kann aufgrund dieser Referenzen berechtigterweise davon ausgegangen werden, dass eine weitgehende und seit diesem Zeitpunkt bis heute eine noch weitergehende Assimilierung an die schweizerische Kultur und Lebensweise erfolgt ist. Demgegenüber werden sie kaum über jene - namentlich schriftlichen - Kenntnisse ihrer Muttersprache verfügen, welche für eine erfolgreiche Eingliederung ins Schulsystem in der Heimat vorauszusetzen wären. Auch angesichts der kulturellen Differenzen zwischen der Schweiz und ihrem Herkunftsland wäre ihre Integration in der Heimat in erhöhtem Mass in Frage gestellt, so insbesondere beim jüngeren Sohn, der praktisch sein ganzes bisheriges Leben in der Schweiz verbracht hat. Es besteht bei dieser Sachlage für die Kinder der Beschwerdeführerin somit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anderseits zu starken Belastungen in ihrer kindlichen Entwicklung führen würden, die mit dem Schutzanliegen des Kindeswohls nicht zu vereinbaren wären.</w:t>
      </w:r>
    </w:p>
    <w:p>
      <w:r>
        <w:rPr>
          <w:b/>
        </w:rPr>
        <w:t>E. 7.3</w:t>
      </w:r>
    </w:p>
    <w:p>
      <w:r>
        <w:t>Im Rahmen einer Gesamtwürdigung der genannten Aspekte sowie unter Berücksichtigung des Grundsatzes der Einheit der Familie (vgl. Art. 44 Abs. 1 AsylG; EMARK 1996 Nr. 18 E. 14e S. 189 f., EMARK 1995 Nr. 24 E. 11 S. 230 ff.) gelangt das Bundesverwaltungsgericht zum Schluss, dass der Vollzug der Wegweisung gegenüber den Beschwerdeführerin und ihren zwei Kindern zum heutigen Zeitpunkt als nicht (mehr) zumutbar zu erachten ist.</w:t>
      </w:r>
    </w:p>
    <w:p>
      <w:r>
        <w:rPr>
          <w:b/>
        </w:rPr>
        <w:t>E. 7.4</w:t>
      </w:r>
    </w:p>
    <w:p>
      <w:r>
        <w:t>Im Übrigen liegen gemäss Aktenlage keine Gründe für den Ausschluss von der vorläufigen Aufnahme gemäss Art. 83 Abs. 7 AuG vor.</w:t>
      </w:r>
    </w:p>
    <w:p>
      <w:r>
        <w:rPr>
          <w:b/>
        </w:rPr>
        <w:t>E. 7.5</w:t>
      </w:r>
    </w:p>
    <w:p>
      <w:r>
        <w:t>Aufgrund vorstehender Ausführungen kann auf die Prüfung weiterer Wegweisungsvollzugshindernisse verzichtet werden.</w:t>
      </w:r>
    </w:p>
    <w:p>
      <w:r>
        <w:rPr>
          <w:b/>
        </w:rPr>
        <w:t>E. 8</w:t>
      </w:r>
    </w:p>
    <w:p>
      <w:r>
        <w:t>Zusammenfassend ist daher die Beschwerde gutzuheissen, soweit sie die Frage des Wegweisungsvollzugs betrifft. Im Übrigen ist die Beschwerde abzuweisen. Die Ziffern 4 und 5 des Dispositivs der vorinstanzlich Verfügung vom 6. Juni 2003 sind aufzuheben und die Vorinstanz ist anzuweisen, die Beschwerdeführerin und ihre beiden Kinder in der Schweiz wegen Unzumutbarkeit des Wegweisungsvollzugs vorläufig aufzunehmen.</w:t>
      </w:r>
    </w:p>
    <w:p>
      <w:r>
        <w:rPr>
          <w:b/>
        </w:rPr>
        <w:t>E. 9.1</w:t>
      </w:r>
    </w:p>
    <w:p>
      <w:r>
        <w:t>Mit Zwischenverfügung vom 28. Juli 2003 wurde für den Entscheid über das Gesuch um Gewährung der unentgeltlichen Prozessführung im Sinne von Art. 65 Abs. 1 VwVG auf den Urteilszeitpunkt verwiesen. Gemäss Art. 65 Abs. 1 VwVG wird eine Partei, die nicht über die erforderlichen Mittel verfügt, auf Antrag hin von der Bezahlung der Verfahrenskosten befreit, sofern ihr Begehren nicht aussichtslos erscheint. Die Beschwerdeführer ist seit dem Jahre 2004 erwerbstätig (vgl. kantonaler Bericht und Antrag vom 4. März 2005, Ziff. 2; siehe oben Bst. E und G), weshalb eine Bedürftigkeit zu verneinen ist. Das Gesuch um Gewährung der unentgeltlichen Prozessführung im Sinne von Art. 65 Abs. 1 VwVG ist somit abzuweisen. Bei diesem Ausgang des Verfahrens - zufolge Unterliegens im Asyl- und Wegweisungspunkt - sind den Beschwerdeführern die hälftigen Verfahrenskosten in der Höhe von Fr. 300.-- aufzuerlegen (Art. 63 Abs. 1 VwVG; Art. 2 und 3 des Reglements vom 21. Februar 2008 über die Kosten und Entschädigungen vor dem Bundesverwaltungsgericht [VGKE, SR 173.320.2]).</w:t>
      </w:r>
    </w:p>
    <w:p>
      <w:r>
        <w:rPr>
          <w:b/>
        </w:rPr>
        <w:t>E. 9.2</w:t>
      </w:r>
    </w:p>
    <w:p>
      <w:r>
        <w:t>Nachdem die vertretenen Beschwerdeführer teilweise - hinsichtlich der Frage des Wegweisungsvollzuges - mit ihrer Beschwerde durchgedrungen sind, ist ihnen für die ihnen erwachsenen notwendigen und verhältnismässig hohen Kosten eine um die Hälfte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Parteienschädigung - welche vom BFM zu entrichten ist - auf Fr. 700.--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