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D-3312/2025 vom 13. Mai 2025</w:t>
      </w:r>
    </w:p>
    <w:p>
      <w:r>
        <w:t>Bundesverwaltungsgericht, 2025-05-13, DE</w:t>
      </w:r>
    </w:p>
    <w:p>
      <w:r>
        <w:rPr>
          <w:b/>
        </w:rPr>
        <w:t xml:space="preserve">Quelle: </w:t>
      </w:r>
      <w:r>
        <w:t>https://mcp.opencaselaw.ch/entscheid/bvger_D-3312_2025</w:t>
      </w:r>
    </w:p>
    <w:p>
      <w:r>
        <w:t>FR: TAF D-3312/2025 du 13 mai 2025</w:t>
      </w:r>
    </w:p>
    <w:p>
      <w:r>
        <w:t>IT: TAF D-3312/2025 del 13 maggio 2025</w:t>
      </w:r>
    </w:p>
    <w:p>
      <w:pPr>
        <w:pStyle w:val="Heading2"/>
      </w:pPr>
      <w:r>
        <w:t>Regeste</w:t>
      </w:r>
    </w:p>
    <w:p>
      <w:r>
        <w:t>Vollzug der Wegweisung (Art. 40 i.V.m. Art. 6a Abs. 2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Gesuche um Gewährung der unentgeltlichen Prozessführung und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