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D-3309/2013 vom 4. Juli 2013</w:t>
      </w:r>
    </w:p>
    <w:p>
      <w:r>
        <w:t>Bundesverwaltungsgericht, 2013-07-04, DE</w:t>
      </w:r>
    </w:p>
    <w:p>
      <w:r>
        <w:rPr>
          <w:b/>
        </w:rPr>
        <w:t xml:space="preserve">Quelle: </w:t>
      </w:r>
      <w:r>
        <w:t>https://mcp.opencaselaw.ch/entscheid/bvger_D-3309_2013</w:t>
      </w:r>
    </w:p>
    <w:p>
      <w:r>
        <w:t>FR: TAF D-3309/2013 du 4 juillet 2013</w:t>
      </w:r>
    </w:p>
    <w:p>
      <w:r>
        <w:t>IT: TAF D-3309/2013 del 4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1.4</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5.4</w:t>
      </w:r>
    </w:p>
    <w:p>
      <w:r>
        <w:t>Nach Art. 52 Abs. 2 AsylG kann einer Person, die sich im Ausland befindet, das Asyl verweigert werden, wenn es ihr zugemutet werden kann, sich in einem anderen Staat um Aufnahme zu bemühen.</w:t>
      </w:r>
    </w:p>
    <w:p>
      <w:r>
        <w:rPr>
          <w:b/>
        </w:rPr>
        <w:t>E. 5.5</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Die Vorinstanz stellte in der angefochtenen Verfügung fest, aus den Schilderungen der Beschwerdeführerin in ihrem Asylgesuch vom 10. April 2011 sowie in ihrer Stellungnahme vom 26. November 2012 (Eingangsstempel der Schweizer Vertretung in Khartum) lasse sich schliessen, dass sie ernstzunehmende Schwierigkeiten mit den eritreischen Behörden gehabt habe. Es sei zu prüfen, ob einer allfälligen Asylgewährung durch die Schweiz der Asylausschlussgrund von Art. 52 Abs. 2 AsylG (alt) entgegenstehe. Danach könne einer Person das Asyl verweigert werden, wenn es ihr zugemutet werden könne, sich in einem anderen Staat um Aufnahme zu bemühen.</w:t>
      </w:r>
    </w:p>
    <w:p>
      <w:r>
        <w:rPr>
          <w:b/>
        </w:rPr>
        <w:t>E. 6.2</w:t>
      </w:r>
    </w:p>
    <w:p>
      <w:r>
        <w:t>Laut Berichten des UNHCR würden sich zahlreiche eritreische Flücht­linge und Asylsuchende im Sudan aufhalten. Vor diesem Hintergrund sei nicht zu verkennen, dass die Lage vor Ort für diese Menschen wie auch für die Beschwerdeführerin und ihre beiden Kinder nicht einfach sei. Den­noch bestünden keine konkreten Anhaltspunkte zur Annahme, wonach ein weiterer Verbleib im Sudan nicht zumutbar oder nicht möglich wäre.</w:t>
      </w:r>
    </w:p>
    <w:p>
      <w:r>
        <w:rPr>
          <w:b/>
        </w:rPr>
        <w:t>E. 6.3</w:t>
      </w:r>
    </w:p>
    <w:p>
      <w:r>
        <w:t>Dazu sei zu erwähnten, dass Flüchtlinge im Sudan, welche vom UNHCR registriert worden seien und einem Flüchtlingslager zugeteilt würden, dort die nötige Versorgung bekämen. Der Beschwerdeführerin sei daher zuzumuten, beim UNHCR um Schutz zu ersuchen, sollte ihre Situation tatsächlich kritisch sein.</w:t>
      </w:r>
    </w:p>
    <w:p>
      <w:r>
        <w:rPr>
          <w:b/>
        </w:rPr>
        <w:t>E. 6.4</w:t>
      </w:r>
    </w:p>
    <w:p>
      <w:r>
        <w:t>Ihre Befürchtung, nach Eritrea ausgeschafft zu werden, erachtete das BFM als nicht hinreichend konkret. Gemäss gesicherten Erkenntnissen des BFM sei das Risiko einer Deportation oder Verschleppung für Eritreer, die im Sudan vom UNHCR als Flüchtlinge anerkannt seien, gering. Das UNHCR registriere vor Ort sämtliche Eritreer, die sich in einem Flüchtlingslager melden würden, unabhängig davon, weshalb sie Eritrea verlassen hätten. Es gebe vorliegend auch keine Anhaltspunkte dafür, dass den Beschwerdeführenden eine Rückführung nach Eritrea drohen könnte. So würden sie den Akten zufolge nicht über ein geeignetes Risikoprofil verfügen, das eine Verschleppung nach Eritrea objektiv begründen könnte. Auch hätten sie nicht glaubhaft darlegen können, persönlich faktisch und unmittelbar bedroht zu sein, und unter Verletzung des Non-Refoulement-Prinzips nach Eritrea zurückgeschafft zu werden. Da die Beschwerdeführenden zudem den Flüchtlingsstatus durch das UNHCR erhalten haben oder erwerben könnten, hätten sie jederzeit die Möglichkeit sich bei einer Vertretung des UNHCR im Sudan zu melden. Im Übrigen habe das UNHCR den Sudan, der das Abkommen vom 28. Juli 1951 über die Rechtsstellung der Flüchtlinge (Flüchtlingskonvention; SR 0.142.30) unterzeichnet habe, an seine internationalen Verpflichtungen erinnert.</w:t>
      </w:r>
    </w:p>
    <w:p>
      <w:r>
        <w:rPr>
          <w:b/>
        </w:rPr>
        <w:t>E. 6.5</w:t>
      </w:r>
    </w:p>
    <w:p>
      <w:r>
        <w:t>Für eritreische Flüchtlinge sei das Leben in Khartum gewiss nicht einfach. Aus den Angaben der Beschwerdeführerin gehe hervor, dass sie dort regelmässig arbeite, aber sie und ihre Kinder dennoch am Existenzminimum lebten. Die Hürden für eine zumutbare Existenz in Khartum seien in ihrem Fall jedoch nicht unüberwindbar. Überdies lebe im Sudan eine grosse eritreische Diaspora, die für in Not geratene Landsleute bereitstehe und weitgehend Unterstützung biete.</w:t>
      </w:r>
    </w:p>
    <w:p>
      <w:r>
        <w:rPr>
          <w:b/>
        </w:rPr>
        <w:t>E. 6.6</w:t>
      </w:r>
    </w:p>
    <w:p>
      <w:r>
        <w:t>Bei der Anwendung von Art. 52 Abs. 2 AsylG (alt) sei zudem in einer Gesamtschau die Beziehungsnähe zur Schweiz und die Beziehungsnähe zu anderen Staaten zu prüfen. Den Angaben der Beschwerdeführerin zu­folge würden keine nahen Verwandten oder Bezugspersonen in der Schweiz leben. Auch sonst seien in den Akten keine Hinweise auf allfälli­ge Anknüpfungspunkte zur Schweiz ersichtlich. Aufgrund dessen sei keine besondere Beziehungsnähe zur Schweiz gegeben, welche die vorangegangenen Feststellungen umstossen könnte.</w:t>
      </w:r>
    </w:p>
    <w:p>
      <w:r>
        <w:rPr>
          <w:b/>
        </w:rPr>
        <w:t>E. 7.1</w:t>
      </w:r>
    </w:p>
    <w:p>
      <w:r>
        <w:t>Wie die Vorinstanz anerkennt auch das Gericht, dass die Lage für eri­treische Flüchtlinge im Sudan nicht einfach ist. Indes legt die Beschwerdeführerin in der Rechtsmitteleingabe mit dem ausführlichen Wiederholen ihrer bisherigen Vorbringen nicht dar, inwiefern ihr persönlich ein weiterer dortiger Aufenthalt nicht zumutbar und möglich ist, zumal ihr zuzumuten ist, als registrierter Flüchtling des UNHCR den Schutz dieser Organisation in Anspruch zu nehmen, indem sie sich in das ihr zugewiesene Flüchtlingslager begibt. Nebst der Grundversorgung erhält sie dort auch weiteren Beistand. Auch könnte sie dort den auf Beschwerdeebene geltend gemachten Behelligungen in Khartum entgehen. Um Wiederholungen zu vermeiden, kann schliesslich vollumfänglich auf die zutreffenden Erwägungen in der angefochtenen Verfügung verwiesen werden. Zudem lebt die Beschwerdeführerin mit ihrer Schwester in Khartum, wo sie sich allenfalls weiterhin aufhalten kann.</w:t>
      </w:r>
    </w:p>
    <w:p>
      <w:r>
        <w:rPr>
          <w:b/>
        </w:rPr>
        <w:t>E. 7.2</w:t>
      </w:r>
    </w:p>
    <w:p>
      <w:r>
        <w:t>Zusammenfassend ist festzustellen, dass der Beschwerdeführerin und ihren Kindern ein weiterer Verbleib im Sudan zumutbar ist und sie auf den Schutz der Schweiz nicht angewiesen sind. Die Vorinstanz hat dem­nach den Beschwerdeführenden zu Recht die Einreise in die Schweiz nicht bewilligt und die Asylgesuche abgelehnt.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der Beschwerdeführerin aufzuerlegen (Art. 63 Abs. 1 und 5 VwVG, Art. 1-3 des Reglements vom 21. Februar 2008 über die Kosten und Entschädigungen vor dem Bundesverwaltungsgericht [VGKE, SR 173.320.2]). Aus verwaltungsökonomischen Gründen wird indessen auf deren Erhebung verzichtet (Art. 16 Abs. 1 Bst. a VGG i. V. 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