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D-3307/2011 vom 17. Januar 2013</w:t>
      </w:r>
    </w:p>
    <w:p>
      <w:r>
        <w:t>Bundesverwaltungsgericht, 2013-01-17, DE</w:t>
      </w:r>
    </w:p>
    <w:p>
      <w:r>
        <w:rPr>
          <w:b/>
        </w:rPr>
        <w:t xml:space="preserve">Quelle: </w:t>
      </w:r>
      <w:r>
        <w:t>https://mcp.opencaselaw.ch/entscheid/bvger_D-3307_2011</w:t>
      </w:r>
    </w:p>
    <w:p>
      <w:r>
        <w:t>FR: TAF D-3307/2011 du 17 janvier 2013</w:t>
      </w:r>
    </w:p>
    <w:p>
      <w:r>
        <w:t>IT: TAF D-3307/2011 del 17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als Gründe für sein Asylgesuch im Wesentlichen geltend, dass er von seiner Geburt bis zum 15. Lebensjahr in Z._______, Provinz Kandahar (Afghanistan) gelebt habe. Die letzten zwei Jahre in Z._______ habe er aufgrund einer Verurteilung (...) im Gefängnis verbracht. Anschliessend habe er in Herat gelebt und seit seinem 18. Lebensjahr für eine Transportfirma (...), bei welcher bereits sein Vater angestellt gewesen sei, als Chauffeur gearbeitet. Er habe zur Hauptsache Erdöl für die ISAF transportiert. Die Fahrten seien sehr gefährlich gewesen, so dass die Konvois bestehend aus etwa 60-70 Lastwagen jeweils von afghanischen Truppen und ISAF-Truppen eskortiert worden seien. Im Jahre 2010 sei er einmal von den Taliban angehalten und verwarnt sowie aufgefordert worden, die Arbeit als Chauffeur aufzugeben. Schliesslich sei sein Konvoi im April/Mai 2010 nahe der Ortschaft Y._______ von Taliban-Kämpfern angegriffen worden. Bei diesem Angriff sei sein Fahrzeug beschädigt worden, woraufhin er die Kontrolle darüber verloren habe und mit einem afghanischen Armeefahrzeug kollidiert sei. Bei diesem Zusammenstoss seien zwei afghanische Soldaten getötet worden. Aufgrund dieses Vorfalles werde er von den afghanischen Behörden wegen Verdachts auf Zusammenarbeit mit den Taliban gesucht. Der Leibwächter seines Vorgesetzten bei (der Transportfirma) habe ihm wenige Tage nach dem Vorfall mitgeteilt, dass ein Haftbefehl gegen ihn erlassen worden sei. Daher sei er zusammen mit seinem Vater in den Iran gereist. Während sich der Beschwerdeführer noch in Herat aufgehalten habe, hätten Polizisten sich zweimal bei seinem Vater nach ihm erkundigt. Als Beleg für die Vorfälle reichte der Beschwerdeführer seinen (Transportfirma)-Ausweis, ein Schreiben des Arbeitgebers bezüglich des Unfallherganges, einen Zeitungsbericht (...) betreffend den Vorfall sowie eine Ausschreibung zur Verhaftung datiert auf den (...) März 2010 [recte: (...) Mai 2010] ein.</w:t>
      </w:r>
    </w:p>
    <w:p>
      <w:r>
        <w:rPr>
          <w:b/>
        </w:rPr>
        <w:t>E. 4.2</w:t>
      </w:r>
    </w:p>
    <w:p>
      <w:r>
        <w:t>Das BFM liess in seiner Verfügung die Glaubhaftigkeit der Vorbringen des Gesuchstellers offen, da es zum Schluss kam, dass den Gesuchsgründen keine Asylrelevanz zukomme. Aufgrund der Verurteilung des Beschwerdeführers zu einer zweijährigen Haft bestehe derzeit keine Verfolgungsgefahr. Der vorgebrachten behördlichen Suche aufgrund des Zusammenstosses, bei welchem zwei Armeeangehörige gestorben seien, fehle ein asylrechtlich relevantes Verfolgungsmotiv. Auch die Befürchtung, aufgrund seiner Tätigkeit als Chauffeur einer Verfolgung durch die Taliban ausgesetzt zu sein, vermöge die Flüchtlingseigenschaft nicht zu begründen, da der Beschwerdeführer in Herat oder Kabul genügenden behördlichen Schutz erhalten würde. Der Beschwerdeführer könne sich daher mittels einer innerstaatlichen Fluchtalternative dem Einflussbereich der Taliban entziehen.</w:t>
      </w:r>
    </w:p>
    <w:p>
      <w:r>
        <w:rPr>
          <w:b/>
        </w:rPr>
        <w:t>E. 4.3</w:t>
      </w:r>
    </w:p>
    <w:p>
      <w:r>
        <w:t>In der Beschwerdeschrift wurde diesen Erwägungen entgegengehalten, dass er als Fahrer der (Transportfirma) sehr exponiert gewesen sei und von den Behörden nicht adäquat geschützt werde. Die Taliban hätten entgegen den Ausführungen der Vorinstanz ihren Einfluss erheblich ausbauen können. Aufgrund des Verdachts seitens des afghanischen Militärs und des nun vorliegenden Haftbefehls bestehe zudem die Gefahr, in Haft genommen und misshandelt zu werden.</w:t>
      </w:r>
    </w:p>
    <w:p>
      <w:r>
        <w:rPr>
          <w:b/>
        </w:rPr>
        <w:t>E. 4.4</w:t>
      </w:r>
    </w:p>
    <w:p>
      <w:r>
        <w:t>Das Bundesverwaltungsgericht erachtet die Tätigkeit des Beschwerdeführers als Lastwagenfahrer für die (Transportfirma) für glaubhaft. Demgegenüber ist der Überfall der Taliban und die behördliche Suche aufgrund eines Verdachts auf Zusammenarbeit mit den Taliban vom Beschwerdeführer nicht glaubhaft dargelegt worden. Glaubhaft sind die Vorbringen eines Asylsuchenden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Beschwerdeführer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Entscheidungen und Mitteilungen der Schweizerischen Asylrekurskommission [EMARK] 2005 Nr. 21 E. 6.1 S. 190 f.). Die Ausführungen des Beschwerdeführers weisen an verschiedenen Stellen Unglaubhaftigkeitselemente auf: Der Beschwerdeführer sagte in der BzP aus, dass sein Lastwagen aufgrund des Zusammenstosses umgefallen sei und er dadurch seinen Schädel und sein Bein gebrochen sowie das Bewusstsein verloren habe. Er sei aber nicht aus dem Auto geborgen worden, da man angenommen habe, er sei bereits in Sicherheit gebracht worden. Er sei daher, nachdem er wieder zu sich gekommen sei, geflohen und habe sich bis 4.00 bzw. 5.00 Uhr versteckt (act. A1/13 Ziff. 15 S. 6). In der eingehenden Anhörung gab er demgegenüber zu Protokoll, dass seine Freunde ihn aus dem Lastwagen, nachdem dieser umgekippt sei und er das Bewusstsein verloren habe, geborgen und ihm Wasser über den Kopf geschüttet hätten. Anschliessend seien sie gemeinsam geflohen (act. A21/16 F17 S. 3). In seiner Stellungnahme vom 28. Dezember 2012 (nachfolgend: Stellungnahme) führte er aus, dass ein Freund ihn gerettet habe, mit welchem er schliesslich etwa vier bis fünf Stunden nach dem Unfall geflohen sei. Die während dem Überfall angeblich erlittenen Kopf- und Beinverletzungen konnte der Beschwerdeführer nur oberflächlich und ausweichend schildern (act. A21/16 F47 S. 6). In der BzP führte der Beschwerdeführer aus, dass er seinen Bruder zur KMS geschickt habe und dieser ihn daraufhin informiert habe, dass er (der Beschwerdeführer) gesucht werde (act. A1/13 Ziff. 15 S. 6). In der Anhörung brachte er demgegenüber vor, dass er selbst zur Firma gegangen sei (act. A21/16 F50 S. 6). Auf den Widerspruch angesprochen, erklärte er, dass wohl ein Übersetzungsfehler vorliege, was nicht zu überzeugen vermag, zumal die BzP rückübersetzt wurde und der Beschwerdeführer angab, den Dolmetscher gut zu verstehen (act. A1/13 Ziff. 23 S. 11). Gegen die Glaubhaftigkeit spricht auch die Stellungnahme, in welcher er wieder zur in der BzP vorgebrachten Version zurückkehrt. Auch die Aussagen zur angeblichen polizeilichen Suche fielen widersprüchlich und oberflächlich aus (act. A21/16 F73 bis F77 S. 8). Ferner weisen die Angaben über den Verlauf der Flucht Ungereimtheiten auf. In der BzP gab der Beschwerdeführer an, dass er im Juli/August 2010 (d.h. etwa zwei bis drei Monate nach dem Zusammenstoss) mit dem Bus von Kandahar nach Herat gefahren sei und sich dort für zwei Monate aufgehalten habe, bevor er in den Iran geflohen und ohne längeren Aufenthalt (eine Nacht in Teheran; act. 1/13 Ziff. 3 S. 2) weiter in die Türkei gereist sei (act. 1/13 Ziff. 16 S. 8). In der Zweitanhörung gab er zu Protokoll, dass er sich nach dem Unfall zwei Tage in Kandahar aufgehalten habe, dann für einen Monat nach Herat gegangen und anschliessend in den Iran weitergereist sei, wo er sich zwei Monate in Teheran aufgehalten habe (act. 21/16 F114 S. 11 f.), was sich in etwa mit den Ausführungen in der Stellungnahme deckt, gemäss welcher er nach dem Unfall von Kandahar nach Herat gefahren sei, sich anschliessend in den Iran begeben habe und nach einiger Zeit in die Türkei geflohen sei.</w:t>
      </w:r>
    </w:p>
    <w:p>
      <w:r>
        <w:rPr>
          <w:b/>
        </w:rPr>
        <w:t>E. 4.5</w:t>
      </w:r>
    </w:p>
    <w:p>
      <w:r>
        <w:t>Diese Widersprüche wurden auch durch die Stellungnahme nicht entkräftet. So vermögen die allgemeinen Hinweise, der Beschwerdeführer leide seit dem Unfall an Gedächtnisstörungen, und es hätten ausserdem sprachliche Probleme bestanden, da es sich beim Dolmetscher um einen Iraner gehandelt habe, diese Widersprüche nicht zu klären.</w:t>
      </w:r>
    </w:p>
    <w:p>
      <w:r>
        <w:rPr>
          <w:b/>
        </w:rPr>
        <w:t>E. 4.6</w:t>
      </w:r>
    </w:p>
    <w:p>
      <w:r>
        <w:t>Aufgrund dieser Erwägungen kann zusammenfassend festgehalten werden, dass der Hinterhalt der Taliban und die behördliche Suche nicht glaubhaft dargelegt werden konnten. An dieser Einschätzung vermögen auch die eingereichten Beweismittel nichts zu ändern. Der Bestätigung durch den Arbeitgeber und der Ausschreibung zur Verhaftung vom (...) 2010 (recte: (...) 3.1389, d.h. der (...) Mai 2010) kommt wegen ihrer leichten Manipulierbarkeit kaum Beweiswert zu. Es bleibt auch unklar, wie der Beschwerdeführer respektive sein Bruder in Besitz der Ausschreibung gekommen ist. Auch dem Zeitungsbericht (...) kommt kein entscheidender Beweiswert zu. Zum einen ist auch dieses Dokument leicht manipulierbar. Zum anderen lässt sich daraus auch inhaltlich nichts Entscheidendes für den Beschwerdeführer ableiten. Im Artikel wird von einem Verkehrsunfall berichtet, bei dem drei Soldaten umgekommen seien und in welchen der Beschwerdeführer involviert gewesen sei. Dem Artikel lässt sich jedoch nicht entnehmen, dass der Beschwerdeführer aufgrund eines Verdachts auf Zusammenarbeit mit den Taliban gesucht werde. Der Einwand in der Stellungnahme, dass die Zeitung die Taliban nicht erwähnt habe, da sie sich dadurch einer Gefährdung aussetzen würde, vermag diese Feststellung nicht zu beseitigen.</w:t>
      </w:r>
    </w:p>
    <w:p>
      <w:r>
        <w:rPr>
          <w:b/>
        </w:rPr>
        <w:t>E. 4.7</w:t>
      </w:r>
    </w:p>
    <w:p>
      <w:r>
        <w:t>Somit ist nicht glaubhaft dargelegt, dass der Beschwerdeführer wegen Verdachts auf eine Kooperation mit den Taliban behördlich gesucht wird. Der Grund für die behördliche Suche des Beschwerdeführers liegt - wenn überhaupt - im Verdacht auf die Begehung eines Verkehrsdelikts. Somit ist die Asylrelevanz dieser behördlichen Suche selbst bei Wahrunterstellung zu verneinen, da sie nicht auf einem in Art. 3 AsylG abschliessend aufgezählten Verfolgungsmotiv (Rasse, Religion, Nationalität, Zugehörigkeit zu einer bestimmten sozia­len Gruppe oder politische Anschauung) beruht.</w:t>
      </w:r>
    </w:p>
    <w:p>
      <w:r>
        <w:rPr>
          <w:b/>
        </w:rPr>
        <w:t>E. 4.8</w:t>
      </w:r>
    </w:p>
    <w:p>
      <w:r>
        <w:t>Als Zweites ist nachfolgend zu prüfen, ob dem Beschwerdeführer aufgrund seiner Tätigkeit als Lastwagenfahrer eine Verfolgung durch die Taliban gedroht hat und diese Bedrohung immer noch besteht. Diese Prüfung ist in Berücksichtigung der Situation in Afghanistan vorzunehmen, wobei insbesondere näher zu beleuchten ist, ob der Beschwerdeführer in seinem Heimatland Schutz vor Verfolgung finden kann, da aufgrund der Subsidiarität des flüchtlingsrechtlichen Schutzes die Flüchtlingseigenschaft nicht erfüllt, wer in seinem Heimatland Schutz vor nichtstaatlicher Verfolgung finden kann.</w:t>
      </w:r>
    </w:p>
    <w:p>
      <w:r>
        <w:rPr>
          <w:b/>
        </w:rPr>
        <w:t>E. 4.9</w:t>
      </w:r>
    </w:p>
    <w:p>
      <w:r>
        <w:t>Das Gericht nahm im Grundsatzurteil BVGE 2011/7 eine umfassende Analyse der Sicherheitslage in Afghanistan vor. Diese wurde als äusserst prekär bezeichnet und zwar über sämtliche Landesteile hinweg (BVGE 2011/7 E. 9.7.4.). Seit diesem Entscheid hat sich die Sicherheitslage kaum gebessert. Die Anzahl ziviler Opfer ist im Jahre 2011 gegenüber 2010 erneut gestiegen (vgl. United Nations Assistance Mission in Afghanistan (UNAMA), Afghanistan, Annual Report 2011, Protection of Civilians in Armed Conflict, February 2012 S. 3 f.; Report of the United Nations High Commissioner for Human Rights on the human rights situation in Afghanistan and technical assistance achievements in the field of human rights vom 18. Januar 2012 § 11; Corinne Troxler Gulzar, Schweizerische Flüchtlingshilfe, Afghanistan: Update - Die aktuelle Sicherheitslage, 23. August 2011). Im ersten Halbjahr 2012 war die Anzahl ziviler Opfer zwar erstmals rückläufig, jedoch nach wie vor sehr hoch (Corinne Troxler Gulzar, Schweizerische Flüchtlingshilfe, Afghanistan: Update - Die aktuelle Sicherheitslage, 3. September 2012 S. 4 f.). Die Ausführungen des Bundesverwaltungsgerichts im oben erwähnten Grundsatzurteil haben somit weiterhin Gültigkeit.</w:t>
      </w:r>
    </w:p>
    <w:p>
      <w:r>
        <w:rPr>
          <w:b/>
        </w:rPr>
        <w:t>E. 4.10</w:t>
      </w:r>
    </w:p>
    <w:p>
      <w:r>
        <w:t>Das Flüchtlingshochkommissariat der Vereinten Nationen (United Nations High Commissioner for Refugees - UNHCR) hebt bei der Beurteilung der Sicherheitslage in Afghanistan die Existenz von sogenannten Risikogruppen hervor, deren besonderer Status bei der Evaluation, ob eine flüchtlingsrechtlich relevante Verfolgung vorliegt, besonders zu berücksichtigen ist. Dabei werden unter anderen Risikogruppen auch Personen genannt, die mit den internationalen Truppen zusammenarbeiten (vgl. UNHCR Eligibility Guidelines for Assessing the International Protection Needs of Asylum-Seekers from Afghanistan, 17. Dezember 2010 S. 7 f.). Aufgrund der oben aufgezeigten Sicherheitslage in Afghanistan bestehen im heutigen Zeitpunkt keine Anzeichen für eine Entschärfung der Lage für solche Risikogruppen. Die Frage, ob der Beschwerdeführer aufgrund seiner Tätigkeit als Lastwagenchauffeur einer aktuellen Verfolgungsgefahr durch die Taliban ausgesetzt ist, kann jedoch offenbleiben, da - wie sich nachfolgend zeigen wird - von einem genügenden staatlichen Schutz auszugehen ist.</w:t>
      </w:r>
    </w:p>
    <w:p>
      <w:r>
        <w:rPr>
          <w:b/>
        </w:rPr>
        <w:t>E. 4.11</w:t>
      </w:r>
    </w:p>
    <w:p>
      <w:r>
        <w:t>Für die Anerkennung als Flüchtling genügt das alleinige Vorliegen der in Art. 3 AsylG explizit genannten Voraussetzungen nicht. Als weiteres konstitutives Element der Flüchtlingseigenschaft muss feststehen, dass sich ein von asylrechtlich relevanter Verfolgung Betroffener landesweit in einer ausweglosen Situation befindet.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Schutzalternative entgegengehalten werden (vgl. dazu BVGE 2011/51 E. 8.1 S. 1019). Da sich die Sicherheitslage in Kabul und Herat, besser als an den meisten anderen Orten in Afghanistan präsentiert, ist zu prüfen, ob der Beschwerdeführer dort wirksamen Schutz vor der geltend gemachten Verfolgung durch die Taliban erhältlich machen kann. Ist dies der Fall, kann dem Beschwerdeführer das Vorliegen einer innerstaatlichen Fluchtalternative entgegengehalten werden, wodurch seine Flüchtlingseigenschaft zu verneinen wäre.</w:t>
      </w:r>
    </w:p>
    <w:p>
      <w:r>
        <w:rPr>
          <w:b/>
        </w:rPr>
        <w:t>E. 4.12</w:t>
      </w:r>
    </w:p>
    <w:p>
      <w:r>
        <w:t>Mit dem Grundsatzentscheid EMARK 2006 Nr. 18 wurde die sogenannte Schutztheorie anerkannt. Somit kann heute eine nicht-staatliche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(Gross-)Familie oder auf individuell-privater Basis - wäre jedenfalls nicht als ausreichend zu beurteilen (vgl. EMARK 2006 Nr. 18 E. 10.2.3 S. 202 f.). Bei der Beurteilung, welche Art beziehungsweise welcher Grad von Schutz im Heimatland als "genügend" zu qualifizieren ist, kann gemäss erwähntem Grundsatzentscheid vollumfänglich auf die bisherige Rechtsprechung abgestellt werden. Zunächst ist nicht eine faktische Garantie für langfristigen absoluten individuellen Schutz vor nichtstaatlicher Verfolgung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die eine effektive Strafverfolgung ermöglichen.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(BVGE 2011/51 E. 7.4 S. 1018; EMARK 2006 Nr. 18 E. 10.3.1 und 10.3.2 S. 203 mit weiteren Hinweisen auf die Rechtsprechung). Im Grundsatzurteil BVGE 2011/7 hält das Gericht bezüglich der Sicherheitslage in Kabul Folgendes fest: Die Hauptstadt Kabul gehört trotz vereinzelter spektakulärer Anschläge weiterhin zu den relativ stabilen Landesteilen. Zu dieser relativ besseren Sicherheitslage in Kabul trägt massgeblich bei, dass dort die afghanischen Sicherheitskräfte besser in der Lage sind, Verantwortung zu übernehmen; sie ist ihnen für das Stadtgebiet inzwischen von den internationalen Kräften auch bereits formell übergeben worden. In der Hauptstadt befindet sich eines von insgesamt sechs Regionalkommandos der Polizei, und eine eigene Polizeieinheit ist zuständig zur Aufrechterhaltung der öffentlichen Ordnung (Afghan National Civil Order Police). Hinzu kommt eine eigene Kampfeinheit der afghanischen Armee für Kabul (Capital Division). Teile des 201. Armeekorps sind in Kabul stationiert. Nach wie vor patrouillieren aber auch ausländische Truppen in Kabul: Nebst dem Hauptquartier der ISAF-Mission mit rund 3500 Soldaten (US-Kommando) ist eines der fünf Regionalkommandos der ISAF mit ungefähr 5000 Soldaten dort stationiert. Nach den Angriffen vom Januar 2010 verstärkte die Polizei die Sicherheitsmassnahmen weiter und errichtete zusätzliche Checkpoints. Es kommt vermehrt zu Festnahmen, teilweise können geplante Anschläge verhindert werden. Den Sicherheitskräften gelingt es offenbar, für die Bevölkerung von Kabul ein vergleichsweise sicheres Umfeld zu schaffen. Sogar während der Parlamentswahlen bleibt Kabul dank scharfer Sicherheitsmassnahmen relativ sicher. Dies entspricht der neuen US-Strategie, insbesondere die städtischen Zentren zu sichern und so das Vertrauen in die afghanischen Sicherheitskräfte zu stärken (vgl. BVGE 2011/7 E. 9.7.5 S. 102 f.). Gleiches gilt gemäss BVGE 2011/38 für die Situation in der Stadt Herat. Die dortige Sicherheitslage ist verhältnismässig gut und mit derjenigen in Kabul vergleichbar. Die Zahl der Angriffe in der Stadt selbst ist gering. Seit Juni 2011 sind in der Stadt selbst keine Aktivitäten von bewaffneten Gruppen mehr zu verzeichnen. So wurde die Verantwortung für die Sicherheit am 21. Juli 2011 von der ISAF auf die afghanischen Sicherheitskräfte übertragen. Die Sicherheitslage ist deshalb mit derjenigen in Kabul vergleichbar (vgl. BVGE 2011/38 E. 4.3.3.1 S. 818 ff.). Auch neuere Quellen bestätigen die grundsätzliche Schutzfähigkeit der Behörden in Herat (vgl. Afghanistan, Country of Origin Information for Use in the Asylum Determination Process, Report from Danish Immigration Service's fact finding mission to Kabul, Afghanistan 25 February to 4 March 2012, Mai 2012, S. 6 und 8). Somit sind in Kabul sowie in Herat sowohl die Schutzwilligkeit als auch die Schutzfähigkeit der Behörden zu bejahen. Aufgrund des soeben Ausgeführten ist festzuhalten, dass es für den Beschwerdeführer grundsätzlich möglich wäre, in Kabul oder Herat vor allfälligen Behelligungen durch die Taliban bei den für die Sicherheit zuständigen Behörden Schutz zu suchen. In seiner neuesten Rechtsprechung (BVGE 2011/51) hat das Bundesverwaltungsgericht die frühere, unter der damals noch geltenden Zurechenbarkeitstheorie begründete Praxis der vormaligen Schweizerischen Asylrekurskommission (ARK), wonach die Frage, ob der in einem Landesteil von Verfolgung betroffenen Person die Niederlassung am Zufluchtsort aufgrund ungünstiger Lebensbedingungen zuzumuten ist, allein unter dem Aspekt von Art. 14a Abs. 4 des Bundesgesetzes vom 26. März 1931 über Aufenthalt und Niederlassung der Ausländer (ANAG, BS 1 121; heute: Art. 83 Abs. 4 des Bundesgesetzes vom 16. Dezember 2005 über die Ausländerinnen und Ausländer [AuG, SR 142.20]) zu prüfen sei (vgl. EMARK 1996 Nr. 1), in Anbetracht der heute geltenden Praxis, welche auf dem der Schutztheorie zugrunde liegenden Verständnis der Genfer Flüchtlingskonvention beruht, aufgegeben. Nach der neuen Praxis bedingt die Annahme einer innerstaatlichen Flucht­alternative im Lichte der Schutztheorie unter anderem auch, dass es der betroffenen Person individuell zuzumuten ist, den am Zufluchtsort erhältlichen Schutz längerfristig in Anspruch nehmen zu können. Dies hat zur Folge, dass der in einem Landesteil von Verfolgung betroffenen Person das Bestehen einer innerstaatlichen Fluchtalternative nicht entgegengehalten werden kann, wenn ihr die Niederlassung und damit die Inanspruchnahme des Schutzes am Zufluchtsort aus den in Art. 83 Abs. 4 AuG erwähnten Gründen nicht zuzumuten ist. Das BFM erachtete die Inanspruchnahme der innerstaatlichen Fluchtalternative - mutatis mutandis - als zumutbar, da der Beschwerdeführer Verwandte in Herat und Kabul habe und somit ein tragfähiges Beziehungsnetz aufweise. Überdies verfüge er mit seiner Berufserfahrung über eine wirtschaftliche Lebensgrundlage. Diesen Erwägungen hielt der Beschwerdeführer entgegen, dass in Herat keine zumutbare Fluchtalternative bestehe, da er dort behördlich gesucht werde und lediglich zwei Jahre dort gelebt habe. Er könne sich auch nicht nach Kabul begeben, da dort die Familien der getöteten Soldaten leben würden.</w:t>
      </w:r>
    </w:p>
    <w:p>
      <w:r>
        <w:rPr>
          <w:b/>
        </w:rPr>
        <w:t>E. 4.13</w:t>
      </w:r>
    </w:p>
    <w:p>
      <w:r>
        <w:t>Zur Zumutbarkeit des Wegweisungsvollzugs - was ebenfalls für die Beurteilung der Zumutbarkeit der innerstaatlichen Fluchtalternative ausschlaggebend ist - hielt das Gericht in BVGE 2011/38 betreffend Herat fest, dass angesichts des Umstandes, dass die dortige Situation verhältnismässig ruhig ist, in der Stadt selbst keine Aktivitäten bewaffneter Gruppen zu verzeichnen sind und sich die Lage ähnlich wie in Kabul präsentiert, die Zumutbarkeit unter Umständen bejaht werden kann. Solche Umstände können grundsätzlich namentlich dann gegeben sein, wenn es sich beim Rückkehrer um einen jungen, gesunden Mann handelt. Angesichts der konstanten Verschlechterung der Lage über die vergangenen Jahre hinweg und der auch in Herat schwierigen Situation ver­steht es sich aber von selbst, dass die bereits in EMARK 2003 Nr. 10 for­mulierten strengen Bedingungen in jedem Einzel­fall sorgfältig geprüft und erfüllt sein müssen. Unabding­bar ist in erster Linie ein soziales Netz, das sich im Hinblick auf die Auf­nahme und Wiedereingliederung des Rückkehres als tragfähig erweist. Ohne Unterstützung durch Familie oder Bekannte würden die schwieri­gen Lebensverhältnisse unweigerlich in eine existenzielle beziehungsweise lebensbedrohende Situation führen (vgl. für Herat BVGE 2011/38 E. 4.3.3.1 und 4.3.3.2 S. 818 ff. und für Kabul BVGE 2011/7 E. 9.9 S. 104 ff.).</w:t>
      </w:r>
    </w:p>
    <w:p>
      <w:r>
        <w:rPr>
          <w:b/>
        </w:rPr>
        <w:t>E. 4.14</w:t>
      </w:r>
    </w:p>
    <w:p>
      <w:r>
        <w:t>Der Beschwerdeführer ist jung und gesund. Gemäss seinen Angaben leben seine Eltern sowie seine Schwester in Herat (act. A21/16 F9 bis F11 S. 2 und F87 bis F90 S. 9). Da der Beschwerdeführer nach eigenen Angaben selbst für zwei Jahre mit seinen Eltern und seiner Schwester in Herat gelebt hat (Beschwerdeschrift S. 4; act. A21/16 F88 bis F90 S. 9; gemäss act. A21/16 F126 S. 12 zog er bereits mit 15 Jahren nach Herat, so dass anzunehmen ist, dass er mehr als zwei Jahre in Herat wohnte), wodurch er dort nebst seinen Familienangehörigen wohl über weitere soziale Kontakte verfügt. Überdies leben zwei Brüder des Beschwerdeführers in Kabul (act. A21/16 F9 S. 2 und F85 S. 8). Somit verfügt der Beschwerdeführer in Afghanistan und insbesondere in Herat über ein tragfähiges soziales Beziehungsnetz. Der Beschwerdeführer ging zwar nie zur Schule, sammelte jedoch Berufserfahrung als Lastwagenfahrer und verfügt über eine Anlehre als Maler (act. A1/13 Ziff. 8 S. 3), so dass auch unter ökonomischen Gesichtspunkten die Zumutbarkeit der Fluchtalternative zu bejahen ist. Somit ist in Herat von einer zumutbaren innerstaatlichen Fluchtalternative auszugehen.</w:t>
      </w:r>
    </w:p>
    <w:p>
      <w:r>
        <w:rPr>
          <w:b/>
        </w:rPr>
        <w:t>E. 4.15</w:t>
      </w:r>
    </w:p>
    <w:p>
      <w:r>
        <w:t>Mithin hat das BFM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In Bezug auf die allgemeine Lage in Afghanistan kann auf die vom Bundesverwaltungsgericht vorgenommene Einschätzung im vorstehend erwähnten Grundsatzurteil verwiesen werden (vgl. BVGE 2011/7).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ist (BVGE 2011/7 E. 9.9.1 S. 104). Allerdings verfügt der Beschwerdeführer über eine zumutbare Aufenthaltsalternative in Herat (vgl. obige Erwägung 4.14).</w:t>
      </w:r>
    </w:p>
    <w:p>
      <w:r>
        <w:rPr>
          <w:b/>
        </w:rPr>
        <w:t>E. 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10.1</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10.2</w:t>
      </w:r>
    </w:p>
    <w:p>
      <w:r>
        <w:t>Aus diesen Erwägungen ergibt sich, dass die angefochtenen Verfügungen Bundesrecht nicht verletzen, den rechtserheblichen Sachverhalt richtig und vollständig feststellen und angemessen sind (Art. 106 Abs. 1 AsylG). Die Beschwerde ist nach dem Gesagten abzuweisen.</w:t>
      </w:r>
    </w:p>
    <w:p>
      <w:r>
        <w:rPr>
          <w:b/>
        </w:rPr>
        <w:t>E. 11</w:t>
      </w:r>
    </w:p>
    <w:p>
      <w:r>
        <w:t>Das Bundesverwaltungsgericht hat das Gesuch um Gewährung der unentgeltlichen Rechtspflege im Sinne von Art. 65 Abs. 1 VwVG mit Zwischenverfügung vom 6. Juli 2011 gutgeheissen, so dass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