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D-3307/2010 vom 17. Mai 2011</w:t>
      </w:r>
    </w:p>
    <w:p>
      <w:r>
        <w:t>Bundesverwaltungsgericht, 2011-05-17, DE</w:t>
      </w:r>
    </w:p>
    <w:p>
      <w:r>
        <w:rPr>
          <w:b/>
        </w:rPr>
        <w:t xml:space="preserve">Quelle: </w:t>
      </w:r>
      <w:r>
        <w:t>https://mcp.opencaselaw.ch/entscheid/bvger_D-3307_2010</w:t>
      </w:r>
    </w:p>
    <w:p>
      <w:r>
        <w:t>FR: TAF D-3307/2010 du 17 mai 2011</w:t>
      </w:r>
    </w:p>
    <w:p>
      <w:r>
        <w:t>IT: TAF D-3307/2010 del 17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4.1</w:t>
      </w:r>
    </w:p>
    <w:p>
      <w:r>
        <w:t>Vorab ist festzustellen, dass der Beschwerdeführer den Wortlaut sämtlicher Protokolle mit seiner Unterschrift genehmigt hat und sich deshalb seine Aussagen grundsätzlich entgegenhalten lassen muss. Seine Behauptung in der Rechtsmittelschrift, wonach die Dolmetscherin anlässlich der Anhörung nicht präzise respektive korrekt übersetzt habe, weswegen ihm nicht vorgeworfen werden könne, er habe nicht detailliert Auskunft geben können, beziehungsweise er habe sich widersprüchlich geäussert, findet im Anhörungsprotokoll keine Stütze. Aus diesem ist ersichtlich, dass der Beschwerdeführer während der Rückübersetzung ein einziges Mal eine seiner Aussagen bestritt (Akten BFM A 10/11, S. 10), wobei diese keinen negativen Einfluss auf die Beurteilung der Glaubhaftigkeit seiner Vorbringen hatte. Die Richtigkeit und Vollständigkeit der restlichen Aussagen wurde vom Beschwerdeführer unterschriftlich bestätigt. Im Anhörungsprotokoll sind zudem ausser dem erwähnten Einwand keinerlei Hinweise vorhanden, welche auf Verständigungsprobleme zwischen dem Beschwerdeführer und der Dolmetscherin hindeuten. Überdies lässt sich dem Anhörungsprotokoll entnehmen, dass der Beschwerdeführer die Dolmetscherin gut verstanden hat (Akten BFM A 10/11, S. 2, 9). Die Behauptung in der Beschwerde bezüglich fehlerhafter Einträge im Anhörungsprotokoll findet in den Akten keine Stütze und ist daher lediglich als Schutzbehauptung des Beschwerdeführers zu werten. An dieser Einschätzung ändern auch die Äusserungen der Hilfswerkvertretung auf dem Unterschriftenblatt zur Anhörung respektive im ergänzenden Bericht nichts, zumal nicht konkret aufgezeigt wird, welche Aussagen falsch übersetzt worden sein sollen.</w:t>
      </w:r>
    </w:p>
    <w:p>
      <w:r>
        <w:rPr>
          <w:b/>
        </w:rPr>
        <w:t>E. 4.2</w:t>
      </w:r>
    </w:p>
    <w:p>
      <w:r>
        <w:t>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4.3</w:t>
      </w:r>
    </w:p>
    <w:p>
      <w:r>
        <w:t>Nach Prüfung der Akten durch das Gericht ist festzuhalten, dass die Asylvorbringen des Beschwerdeführers in wesentlichen Punkten widersprüchlich sind. So sagte er anlässlich der Kurzbefragung aus, es sei einfach gewesen, aus dem Camp zu fliehen, da sie viele gewesen seien und lediglich ein Wächter sie bewacht habe (Akten BFM A 1/9, S. 5). Hingegen gab er bei der Anhörung zuerst zu Protokoll, zum Zeitpunkt der Flucht sei seine Gruppe von fünf bis sechs Personen bewacht worden (Akten BFM A 10/11, S. 6 f.), bevor er - nachdem ihm seine anlässlich der Kurzbefragung gemachte Aussage vorgehalten worden war - geltend machte, seine Gruppe sei am Abend der Flucht lediglich von einer Person bewacht worden (Akten BFM A 10/11, S. 7). Die Vorbringen in der Beschwerde vermögen diese Widersprüche in den Aussagen des Beschwerdeführers nicht rechtsgenüglich zu erklären, zumal die diesbezüglichen Fragen an den Beschwerdeführer klar und konkret gestellt worden waren. Zudem gab der Beschwerdeführer anlässlich der Anhörung zu Protokoll, dass er sich während des gesamten Aufenthalts in J._______ versteckt gehalten habe (Akten BFM A 10/11, S. 5), was er bei der Kurzbefragung mit keinem Wort erwähnte. Vielmehr hatte er damals geltend gemacht, er habe während seines Aufenthalts in J._______ auf dem Feld gearbeitet (Akten BFM A 1/9, S. 5), was nicht vereinbar ist mit seiner Aussage anlässlich der Anhörung, er habe sich immer versteckt gehalten. Gegen die Glaubhaftigkeit der Vorbringen spricht ausserdem der Umstand, dass die Aussagen des Beschwerdeführers bezüglich seiner Flucht aus dem Camp in G._______ wenig detailliert und unsubstanziiert ausgefallen sind (Akten BFM A 1/9, S. 5, A 10/11, S. 6.). Den diesbezüglichen Vorbringen des Beschwerdeführers fehlen die notwendigen Realkennzeichen einer Erzählung. Namentlich ist den Äusserungen nicht der erforderliche Detailreichtum einer auf tatsächlich erlebten Ereignissen basierenden Schilderung zu entnehmen. Hinsichtlich der vorgebrachten Flucht ist überdies festzuhalten, dass diese als realitätsfremd erscheint. So ist insbesondere nicht glaubhaft, dass es dem Beschwerdeführer und zwei weiteren Personen beim Holzsammeln einfach so gelungen sein soll zu fliehen, zumal der Beschwerdeführer geltend machte, bei dieser Arbeit bewacht worden zu sein (Akten BFM A 10/11, S. 6 f.). Die Behauptung des Beschwerdeführers anlässlich der Anhörung, wonach die Bewacher nicht so aufmerksam seien, weil sie denken würden, man könne ohnehin nicht fliehen, vermag das Gericht nicht zu überzeugen. Übereinstimmend mit der Vorinstanz ist im Weiteren festzustellen, dass auch die Schilderungen des Beschwerdeführers bezüglich des Camps in G._______ sehr unsubstanziiert und vage ausgefallen sind (Akten BFM A 10/11, S. 5 f.). So gab er beispielsweise auf die Frage, wie das Camp ausgesehen habe, lediglich zu Protokoll, dass es dort Zelte gebe (Akten BFM A 10/11, S. 5). Es ist davon auszugehen, dass der Beschwerdeführer das Camp in G._______ viel ausführlicher und detailreicher hätte beschreiben können, hätte er sich tatsächlich - wie behauptet - dort aufgehalten, zumal er über einen Monat dort gelebt haben will. Ausserdem ist festzuhalten, dass die Vorbringen des Beschwerdeführers bezüglich der angeblichen militärischen Ausbildung in G._______ unsubstanziiert und stereotyp ausgefallen sind (Akten BFM A 1/9, S. 5, A 10/11, S. 5), was den Schluss zulässt, dass er insbesondere keine militärische Ausbildung absolviert hat, ist doch davon auszugehen, dass der Beschwerdeführer die militärische Ausbildung ansonsten ausführlicher und mit mehr Realkennzeichen hätte schildern können. Schliesslich ist darauf hinzuweisen, dass auch die eingereichten Beweismittel nicht geeignet sind, die behauptete Desertion und die damit verbundene Flucht glaubhaft zu machen. An dieser Beurteilung ändert auch die Tatsache nichts, dass die an der Anhörung des Beschwerdeführers vom 3. Juli 2009 anwesende Hilfswerkvertretung im ergänzenden Bericht festhielt, sie erachte die Verfolgungsvorbringen des Beschwerdeführers als glaubhaft, zumal die Hilfswerkvertretung über keine Parteirechte verfügt, weshalb eine derartige Meinungsäusserung für das BFM beziehungsweise das Bundesverwaltungsgericht auch nicht bindend ist (vgl. dazu Mario Gattiker, Das Asyl- und Wegweisungsverfahren, 3. Aufl. Bern 1999, S. 28 f.; EMARK 1996 Nr. 13 E. 4c und d, S. 111 f.). Zusammenfassend ist somit festzustellen, dass es dem Be­schwerdeführer nicht gelungen ist, nachzuweisen oder glaubhaft zu machen, dass er in der Heimat ernsthafte Nachteile erlitt oder solche bei der Ausreise zu befürchten hatte. Der rechtserhebliche Sachverhalt ist alsdann in der Kurzbefragung vom 15. April 2008 und in der Anhörung des Beschwerdeführers vom 3. Juli 2009 vollständig und richtig erhoben und in der angefochtenen Verfügung durch das BFM gewürdigt worden. Es besteht deshalb kein Anlass, die Sache zur Neubeurteilung an die Vorinstanz zurückzuweisen, weshalb der entsprechende Eventualantrag abzuweisen ist. Nach dem Gesagten erübrigt es sich, auf die Ausführungen und Einwände in der Beschwerde im Einzelnen weiter einzugehen, da sie am Ergebnis nichts ändern können.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Mangels entsprechender Anzeige der kantonalen Behörden kann der Beschwerdeführer nicht mit der Erteilung einer fremdenpolizeilichen Aufenthaltsbewilligung rechnen. Die Wegweisungs-verfügung erfolgte demnach zu Recht. Da der Beschwerdeführer auf-grund des Vorliegens subjektiver Nachfluchtgründe Flüchtling im Sinne des Asylgesetzes ist, gilt der Vollzug der Wegweisung in Nachachtung von Art. 83 Abs. 3 des Bundesgesetzes vom 16. Dezember 2005 über die Ausländerinnen und Ausländer (AuG, SR 142.20) i.V.m. Art. 5 Abs. 1 AsylG (sowie Art. 25 Abs. 3 der Bundesverfassung der Schweizerischen Eidgenossenschaft vom 18. April 1999 [BV, SR 101] und Art. 33 Abs. 1 des Abkommens vom 28. Juli 1951 über die Rechtsstellung der Flüchtlinge [FK, SR 0.142.30]) als unzulässig. Das Bundesamt ordnete damit zu Recht die vorläufige Aufnahme des Beschwerdeführers an.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von Fr. 600.-- (Art. 1-3 des Reglements vom 21. Februar 2008 über die Kosten und Entschädigungen vor dem Bundesverwaltungsgericht [VGKE, SR 173.320.2]) dem Beschwerdeführer aufzuerlegen (Art. 63 Abs. 1 und 5 VwVG). Nachdem aufgrund der Aktenlage von der Bedürftigkeit des Beschwerdeführers auszugehen ist und die Beschwerde im Zeitpunkt der Beschwerdeeinreichung nicht als aussichtslos bezeichnet werden konnte, ist in Gutheissung des Gesuchs um Gewährung der unentgeltlichen Rechtspflege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