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D-3305/2012 vom 18. Juli 2012</w:t>
      </w:r>
    </w:p>
    <w:p>
      <w:r>
        <w:t>Bundesverwaltungsgericht, 2012-07-18, DE</w:t>
      </w:r>
    </w:p>
    <w:p>
      <w:r>
        <w:rPr>
          <w:b/>
        </w:rPr>
        <w:t xml:space="preserve">Quelle: </w:t>
      </w:r>
      <w:r>
        <w:t>https://mcp.opencaselaw.ch/entscheid/bvger_D-3305_2012</w:t>
      </w:r>
    </w:p>
    <w:p>
      <w:r>
        <w:t>FR: TAF D-3305/2012 du 18 juillet 2012</w:t>
      </w:r>
    </w:p>
    <w:p>
      <w:r>
        <w:t>IT: TAF D-3305/2012 del 18 luglio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sind in Rechtskraft erwachsen, zumal sich die Beschwerde ausdrücklich nur gegen den Vollzug der Wegweisung richtet. Betreffend Asyl und die angeordnete Wegweisung wird weder ein konkreter Antrag gestellt, noch lässt sich ein solcher sinngemäss aus der Begründung ableiten. Es ist deshalb zu prüfen, ob die Vorinstanz den Vollzug der Wegweisung zu Recht angeordnet hat.</w:t>
      </w:r>
    </w:p>
    <w:p>
      <w:r>
        <w:rPr>
          <w:b/>
        </w:rPr>
        <w:t>E. 4.1</w:t>
      </w:r>
    </w:p>
    <w:p>
      <w:r>
        <w:t>Das BFM begründet seine Verfügung damit, die Situation der ethnischen Minderheiten in Serbien habe sich im Zuge des demokratischen Wandels entspannt. Am 25. Februar 2012 sei das Bundesgesetz zum Schutz und zur Freiheit der nationalen Minderheiten in Kraft getreten. Die Roma würden als nationale Minderheit anerkannt. Übergriffe durch Drittpersonen auf Roma könnten nicht ausgeschlossen werden. Die von den Beschwerdeführenden vorgebrachten Vorfälle stellten auch in Serbien Straftatbestände dar, die strafrechtlich verfolgt würden. Gegen Beamte, die notwendige Untersuchungsmassnahmen nicht einleiteten, könne auf dem Rechtsweg vorgegangen werden. Der serbische Staat sei bestrebt, Verfehlungen zu ahnden. Die Beschwerdeführenden hätten es - trotz den geltend gemachten guten Beziehungen des Beschwerdeführers zur Polizei - unterlassen, den Übergriff und die Drohanrufe den Behörden zu melden. Angesichts der Tatsache, dass der Beschwerdeführer sich für die Rom-Gemeinschaft eingesetzt habe, erstaune, dass er seine eigenen Rechte nicht geltend gemacht habe. Da vom Vorhandensein eines adäquaten Schutzes durch den Heimatstaat auszugehen sei, seien die geltend gemachten Übergriffe nicht asylrelevant. Widersprüchliche Aussagen der Beschwerdeführenden zum Verhalten der Beschwerdeführerin nach der geltend gemachten Vergewaltigung liessen massive Zweifel am Wahrheitsgehalt ihrer Aussagen aufkommen. Der Beschwerdeführer habe sich auch widersprüchlich dazu geäussert, wer den letzten Drohanruf entgegengenommen habe. Die Beschwerdeführenden seien gemäss Aktenlage gesund und der Beschwerdeführer habe reichlich Berufserfahrung als (...). Sie könnten in Serbien zudem auf ein verwandtschaftliches Beziehungsnetz zurückgreifen.</w:t>
      </w:r>
    </w:p>
    <w:p>
      <w:r>
        <w:rPr>
          <w:b/>
        </w:rPr>
        <w:t>E. 4.2</w:t>
      </w:r>
    </w:p>
    <w:p>
      <w:r>
        <w:t>In der Beschwerde wird geltend gemacht, die Erlebnisse der Beschwerdeführenden seien traumatisierend gewesen und es sei äusserst belastend, sich an Details erinnern zu müssen. Es sei davon auszugehen, dass die Beschwerdeführerin durch die Vergewaltigung stark traumatisiert worden sei, weshalb ihre Aussagen zum Teil unter diesem Aspekt nur relativ auf ihren Wahrheitsgehalt hin beurteilt werden könnten. Die bei den Anhörungen anwesende Hilfswerkvertretung habe bezüglich der Beschwerdeführenden eine psychologische/psychiatrische Behandlung empfohlen. In neuen Berichten von Amnesty International und UNNews sei auf die gesetzliche und gesellschaftliche Diskriminierung von Roma hingewiesen worden; Serbien werde ausdrücklich erwähnt. Es wäre für den Beschwerdeführer fast unmöglich, eine Arbeit zu finden. Die serbischen Behörden würden ihm keinen Schutz vor Übergriffen gewähren. Es sei davon auszugehen, dass die Angreifer bessere Beziehungen zu den Behörden hätten als er selbst. Die ganze Familie wäre Benachteiligungen, Belästigungen und Übergriffen ausgesetzt. Nach der Wahl des neuen Präsidenten sei die politische und ethnische Situation in Serbien noch angespannter geworden.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w:t>
      </w:r>
    </w:p>
    <w:p>
      <w:r>
        <w:t>Die Vorinstanz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Da die Beschwerdeführenden bis zu ihrer Ausreise aus dem Heimatland eigenen Aussagen gemäss weder mit den Behörden noch mit Privatpersonen Probleme gehabt hätten und der Beschwerdeführer gut mit der Polizei zusammengearbeitet habe, kann den heimatlichen Behörden nicht unterstellt werden, sie hätten nichts zum Schutz der Beschwerdeführenden unternommen, falls sich diese an sie gewandt hätten. Wie das BFM in der angefochtenen Verfügung festgehalten hat, handelt es sich bei den von ihnen geltend gemachten Übergriffen und Drohungen um Straftaten, die auf Anzeige hin zu verfolgen wären. Straftaten, die den Behörden nicht zur Kenntnis gebracht werden, können von diesen indessen nicht geahndet werden. Bei den Ausführungen in der Beschwerde, die Angreifer hätten bessere Beziehungen zur Polizei gehabt als der Beschwerdeführer, handelt es sich um reine Spekulation, da den Beschwerdeführenden die Täter offenbar nicht bekannt sind und sie bei den Behörden nicht um Schutz nachgesucht haben.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Angesichts der heutigen Lage in Serbien ist gemäss konstanter Praxis nicht von einer Situation allgemeiner Gewalt oder kriegerischen respektive bürgerkriegsähnlichen Verhältnissen zu sprechen. Zur Lage der Roma in Serbien hat sich das Bundesverwaltungsgericht in einem publizierten Urteil vom 18. September 2009 ausführlich geäussert (vgl. BVGE 2009/51). Es stellte unter anderem fest, aufgrund ihrer ethnischen Zugehörigkeit seien Roma generell unterschiedlichen Schikanen und Diskriminierungen ausgesetzt und ihre Lage in wirtschaftlicher und sozialer Sicht sei allgemein schwierig. Auch wenn Übergriffe von Privatpersonen auf Angehörige der Roma und teilweise behördliche Schikanen sowie Diskriminierungen nicht völlig ausgeschlossen werden können, erreichen diese jedoch im Allgemeinen nicht ein Ausmass, welches einen Wegweisungsvollzug als unzumutbar erscheinen lässt (vgl. statt vieler Urteil des Bundesverwaltungsgerichts D-5714/2009 vom 13. November 2009).</w:t>
      </w:r>
    </w:p>
    <w:p>
      <w:r>
        <w:rPr>
          <w:b/>
        </w:rPr>
        <w:t>E. 5.4.2</w:t>
      </w:r>
    </w:p>
    <w:p>
      <w:r>
        <w:t>Aus den Akten ergibt sich, dass mehrere Verwandte der Beschwerdeführenden (gemeinsame Tochter, Bruder und Cousins des Beschwerdeführers) in Serbien leben (act. A 5/10 S. 5), womit sie über ein familiäres Beziehungsnetz in diesem Land verfügen. Sie besitzen in C._______ ein Haus, in dem sie vor ihrer Ausreise aus Serbien gewohnt haben und in das sie zurückkehren können. Überdies verfügt der Beschwerdeführer über eine Ausbildung als Maschinentechniker, weshalb anzunehmen ist, er könne sich in seiner Heimat wieder wirtschaftlich integrieren und für sich und seine Ehefrau sorgen. Bei der Integration werden die Beschwerdeführenden im Bedarfsfall auf die (finanzielle) Unterstützung ihrer zahlreichen nahen Verwandten zählen können, die in Serbien leben. Die Rückkehrhilfe der Schweiz, die sei unter gewissen Bedingungen auf Antrag erhalten können (Art. 93 AsylG), wird ihnen den Wiedereinstieg in Serbien ebenfalls erleichtern (vgl. Art. 62 ff. der Asylverordnung 2 über Finanzierungsfragen vom 11. August 1999 [AsylV 2, SR 142.312]). Es ist darauf hinzuweisen, dass blosse soziale und wirtschaftliche Schwierigkeiten, von denen die ansässige Bevölkerung im Allgemeinen betroffen ist, nicht genügen, um eine Gefährdung im Sinne von Art. 83 Abs. 4 AuG darzustellen (vgl. BVGE 2008/34 E. 11.2.2).</w:t>
      </w:r>
    </w:p>
    <w:p>
      <w:r>
        <w:rPr>
          <w:b/>
        </w:rPr>
        <w:t>E. 5.4.3</w:t>
      </w:r>
    </w:p>
    <w:p>
      <w:r>
        <w:t>Die von den Beschwerdeführenden erwähnten gesundheitlichen Probleme der Beschwerdeführerin sind in Serbien behandelbar, weshalb einer Rückkehr keine medizinischen Gründe entgegenstehen. Die Beschwerdeführerin kann ihre allenfalls immer noch vorhandenen psychischen Probleme - falls nötig - in ihrer Heimat weiterbehandeln lassen, zumal die medizinische Grundversorgung in Serbien gewährleistet ist. Sollten gravierende Probleme auftreten, ist es ihr überdies zumutbar, sich für Unterstützung an die entsprechenden staatlichen Stellen oder an die vorhandenen privaten Organisationen zu wenden.</w:t>
      </w:r>
    </w:p>
    <w:p>
      <w:r>
        <w:rPr>
          <w:b/>
        </w:rPr>
        <w:t>E. 5.4.4</w:t>
      </w:r>
    </w:p>
    <w:p>
      <w:r>
        <w:t>Nach dem Gesagten erweist sich der Vollzug der Wegweisung auch als zumutbar.</w:t>
      </w:r>
    </w:p>
    <w:p>
      <w:r>
        <w:rPr>
          <w:b/>
        </w:rPr>
        <w:t>E. 5.5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den Beschwerdeführenden aufzuerlegen (Art. 63 Abs. 1 VwVG). Da ihnen mit Zwischenverfügung vom 29. Juni 2012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