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D-3296/2023 vom 30. Juni 2023</w:t>
      </w:r>
    </w:p>
    <w:p>
      <w:r>
        <w:t>Bundesverwaltungsgericht, 2023-06-30, DE</w:t>
      </w:r>
    </w:p>
    <w:p>
      <w:r>
        <w:rPr>
          <w:b/>
        </w:rPr>
        <w:t xml:space="preserve">Quelle: </w:t>
      </w:r>
      <w:r>
        <w:t>https://mcp.opencaselaw.ch/entscheid/bvger_D-3296_2023</w:t>
      </w:r>
    </w:p>
    <w:p>
      <w:r>
        <w:t>FR: TAF D-3296/2023 du 30 juin 2023</w:t>
      </w:r>
    </w:p>
    <w:p>
      <w:r>
        <w:t>IT: TAF D-3296/2023 del 30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(nach Beschwerdeverbesserung)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bis Art. 25 Dublin-III-VO) findet grundsätzlich keine (erneute) Zuständigkeitsprüfung nach Kapitel III Dublin-III-VO mehr statt (vgl. zum Ganzen BVGE 2017 VI/5 E. 6.2 und 8.2.1).</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w:t>
      </w:r>
    </w:p>
    <w:p>
      <w:r>
        <w:t>Ein Abgleich der Fingerabdrücke des Beschwerdeführers mit der "Eurodac"-Datenbank ergab, dass dieser am (...), am (...), am (...), am (...) sowie am (...) in Frankreich Asylgesuche eingereicht hat. Das SEM ersuchte deshalb die französischen Behörden am 9. Mai 2023 um Wiederaufnahme des Beschwerdeführers. Nachdem die französischen Behörden das Ersuchen um Rückübernahme am 22. Mai 2023 zunächst abgelehnt hatten, stimmten sie am 5. Juni 2023 dem Remonstrationsersuchen gestützt auf Art. 18 Abs. 1 Bst. d Dublin-III-VO explizit zu. Vor diesem Hintergrund ist die staatsvertragliche Zuständigkeit Frankreichs grundsätzlich gegeben. An dieser - im Übrigen vom Beschwerdeführer nicht bestrittenen - Schlussfolgerung vermag der Umstand, dass das Gesuch des Beschwerdeführers um internationalen Schutz in Frankreich gemäss den Akten (vgl. act. SEM 1249646-19/2) bereits abgelehnt wurde, nichts zu ändern. Frankreich bleibt gemäss Art. 18 Abs. 1 Bst. d Dublin-III-VO weiterhin für das Verfahren zuständig, wobei der Beschwerdeführer allfällige neue Asylgründe oder Wegweisungshindernisse bei den dortigen Behörden vorzubringen hätte.</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französische Asylsystem keine systemischen Mängel im Sinne von Art. 3 Abs. 2 zweiter Satz Dublin-III-VO aufweist (vgl. statt vieler: Urteil des BVGer E-1476/2023 vom 21. März 2023 E. 6.1.1).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Der Beschwerdeführer macht in seiner Beschwerde vom 8. Juni 2023 ausschliesslich geltend, er habe in Frankreich Probleme mit der kriminellen Organisation «(...)», deren Anhänger würden versuchen, ihn zu töten. Es sei deshalb für ihn lebensgefährlich, dorthin zurückzukehren, zumal er von der französischen Polizei keine Hilfe erhalten werde.</w:t>
      </w:r>
    </w:p>
    <w:p>
      <w:r>
        <w:rPr>
          <w:b/>
        </w:rPr>
        <w:t>E. 7.3</w:t>
      </w:r>
    </w:p>
    <w:p>
      <w:r>
        <w:t>Diesbezüglich ist festzuhalten, dass Frankreich ein funktionierender Rechtsstaat ist und die Behörden grundsätzlich gewillt und fähig sind, staatlichen Schutz zu gewähren (vgl. Urteil des BVGer F-2042/2022 vom 20. Mai 2022 E. 8.2). Sollte sich der Beschwerdeführer in Frankreich durch Mitglieder einer kriminellen Organisation bedroht oder unter Druck gesetzt fühlen, kann er sich an die zuständige Polizeibehörde wenden, die verpflichtet ist, sich seinen Bedürfnissen anzunehmen. Es bestehen keine konkreten Hinweise, wonach die französische Polizei dem Beschwerdeführer den erforderlichen Schutz verweigern würde.</w:t>
      </w:r>
    </w:p>
    <w:p>
      <w:r>
        <w:rPr>
          <w:b/>
        </w:rPr>
        <w:t>E. 7.4</w:t>
      </w:r>
    </w:p>
    <w:p>
      <w:r>
        <w:t>Auch weitergehend besteht kein konkretes und ernsthaftes Risiko, dass die Überstellung des Beschwerdeführers nach Frankreich die Verletzung völkerrechtlicher Bestimmungen zur Folge hätte. Diesbezüglich kann zur Vermeidung von Wiederholungen vollumfänglich auf die Ausführungen in der angefochtenen Verfügung verwiesen werden (vgl. dort S. 4 f.), zumal der Beschwerdeführer diese auf Beschwerdeebene nicht in Frage stellt. Insbesondere ist nicht davon auszugehen, dass die französischen Behörden den Beschwerdeführer unter Missachtung des Non-Refoulements-Prinzips zur Ausreise in ein Land zwingen, in dem sein Leib, sein Leben oder seine Freiheit aus einem Grund nach Art. 3 Abs. 1 AsylG gefährdet wäre oder dass die bei einer Rückführung nach Frankreich zu erwartenden Bedingungen derart schlecht sind, dass sie zu einer Verletzung von Art. 3 EMRK führen könnten.</w:t>
      </w:r>
    </w:p>
    <w:p>
      <w:r>
        <w:rPr>
          <w:b/>
        </w:rPr>
        <w:t>E. 7.5</w:t>
      </w:r>
    </w:p>
    <w:p>
      <w:r>
        <w:t>Gemäss Praxis des Bundesverwaltungsgerichts verfügt die Vorinstanz bei der Anwendung von Art. 29a Abs. 3 AsylV 1 über einen Ermessenspielraum (vgl. BVGE 2015/9 E. 7 f.). Die angefochtene Verfügung ist auch unter diesem Blickwinkel nicht zu beanstanden.</w:t>
      </w:r>
    </w:p>
    <w:p>
      <w:r>
        <w:rPr>
          <w:b/>
        </w:rPr>
        <w:t>E. 7.6</w:t>
      </w:r>
    </w:p>
    <w:p>
      <w:r>
        <w:t>Nach dem Gesagten liegen weder völkerrechtliche Vollzugshindernisse vor, welche die Schweiz zum Selbsteintritt verpflichten würden, noch Rechtsfehler bei der Ermessensbetätigung. Folglich besteht kein Grund für einen Selbsteintritt der Schweiz gemäss Art. 29a Abs. 3 AsylV 1 in Verbindung mit Art. 17 Dublin-III-VO. Frankreich bleibt zuständiger Mitgliedstaat gemäss Dublin-III-VO und ist verpflichtet, den Beschwerdeführer wiederaufzunehmen.</w:t>
      </w:r>
    </w:p>
    <w:p>
      <w:r>
        <w:rPr>
          <w:b/>
        </w:rPr>
        <w:t>E. 8</w:t>
      </w:r>
    </w:p>
    <w:p>
      <w:r>
        <w:t>Die Vorinstanz ist zu Recht in Anwendung von Art. 31a Abs. 1 Bst. b AsylG auf das Asylgesuch des Beschwerdeführers nicht eingetreten und hat die Überstellung nach Frankreich angeordnet. Die Beschwerde ist abzuweisen.</w:t>
      </w:r>
    </w:p>
    <w:p>
      <w:r>
        <w:rPr>
          <w:b/>
        </w:rPr>
        <w:t>E. 9.1</w:t>
      </w:r>
    </w:p>
    <w:p>
      <w:r>
        <w:t>Der am 9. Juni 2023 verfügte Vollzugsstopp fällt mit dem vorliegenden Urteil dahin.</w:t>
      </w:r>
    </w:p>
    <w:p>
      <w:r>
        <w:rPr>
          <w:b/>
        </w:rPr>
        <w:t>E. 9.2</w:t>
      </w:r>
    </w:p>
    <w:p>
      <w:r>
        <w:t>Mit dem Entscheid in der Hauptsache sind die Gesuche um Erteilung der aufschiebenden Wirkung und um Verzicht auf die Erhebung eines Kostenvorschusses gegenstandlos geworden.</w:t>
      </w:r>
    </w:p>
    <w:p>
      <w:r>
        <w:rPr>
          <w:b/>
        </w:rPr>
        <w:t>E. 9.3</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9.4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