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D-3293/2014 vom 1. Mai 2015</w:t>
      </w:r>
    </w:p>
    <w:p>
      <w:r>
        <w:t>Bundesverwaltungsgericht, 2015-05-01, FR</w:t>
      </w:r>
    </w:p>
    <w:p>
      <w:r>
        <w:rPr>
          <w:b/>
        </w:rPr>
        <w:t xml:space="preserve">Quelle: </w:t>
      </w:r>
      <w:r>
        <w:t>https://mcp.opencaselaw.ch/entscheid/bvger_D-3293_2014</w:t>
      </w:r>
    </w:p>
    <w:p>
      <w:r>
        <w:t>FR: TAF D-3293/2014 du 1 mai 2015</w:t>
      </w:r>
    </w:p>
    <w:p>
      <w:r>
        <w:t>IT: TAF D-3293/2014 del 1 maggio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A._______ a qualité pour recourir (art. 48 al. 1 PA). Présenté dans la forme (art. 52 al. 1 PA) et dans les délais (art. 108 al. 1 LAsi) prescrits par la loi, le recours est recevable.</w:t>
      </w:r>
    </w:p>
    <w:p>
      <w:r>
        <w:rPr>
          <w:b/>
        </w:rPr>
        <w:t>E. 1.3</w:t>
      </w:r>
    </w:p>
    <w:p>
      <w:r>
        <w:t>Les conclusions du recours tendant à la reconnaissance de la qualité de réfugié du prénommé ainsi qu'à la constatation du caractère illicite, inexigible et impossible de l'exécution de son renvoi de Suisse ne sont pas recevables, car le SEM l'a d'ores et déjà reconnu comme réfugié, au sens de l'art. 3 LAsi, et mis au bénéfice d'une admission provisoire.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(autrement dit: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voir aussi Organisation suisse d'aide aux réfugiés [OSAR, éd.], Manuel de la procédure d'asile et de renvoi, Berne 2009, p. 186 ss; Minh Son Nguyen, Droit public des étrangers, Berne 2003, p. 447 ss; Haut Commissariat des Nations Unies pour les réfugiés [HCR], Guide et principes directeurs sur les procédures et critères à appliquer pour déterminer le statut des réfugiés au regard de la Convention de 1951 et du protocole de 1967 relatifs au statut des réfugiés, réédité, Genève, décembre 2011, nos 37 ss p. 11 ss).</w:t>
      </w:r>
    </w:p>
    <w:p>
      <w:r>
        <w:rPr>
          <w:b/>
        </w:rPr>
        <w:t>E. 3</w:t>
      </w:r>
    </w:p>
    <w:p>
      <w:r>
        <w:t>En l'espèce, il s'agit d'examiner si, en plus de la qualité de réfugié d'ores et déjà reconnue par le SEM sur la base de motifs subjectifs survenus après la fuite au sens de l'art. 54 LAsi (cf. à ce sujet ATAF 2009/29 consid. 5.1 p. 376, et jurisp. cit.), le recourant peut encore prétendre à l'octroi de l'asile pour des raisons en rapport avec les motifs d'asile allégués ou avec les circonstances de fait intervenues après son départ du Tibet et indépendantes de sa personne ou de sa volonté (motifs objectifs postérieurs à la fuite) (cf. également ATAF 2010/44 consid. 3.5, et réf. cit.).</w:t>
      </w:r>
    </w:p>
    <w:p>
      <w:r>
        <w:rPr>
          <w:b/>
        </w:rPr>
        <w:t>E. 4</w:t>
      </w:r>
    </w:p>
    <w:p>
      <w:r>
        <w:t>La réaction d'une personne de culture tibétaine peut différer de celle d'une personne de culture occidentale. Cela étant, la question des invraisemblances relevées pas le SEM (cf. ch. II de la décision attaquée, p. 2 s) et contestées par le recourant peut rester indécise dès lors que, à teneur de ce qui suit, le recourant, en tout état de cause, n'a pas subi de sérieux préjudices avant son départ du Tibet ni ne peut faire valoir une crainte fondée de persécution future, telle que consacrée à l'art. 3 LAsi.</w:t>
      </w:r>
    </w:p>
    <w:p>
      <w:r>
        <w:rPr>
          <w:b/>
        </w:rPr>
        <w:t>E. 4.1</w:t>
      </w:r>
    </w:p>
    <w:p>
      <w:r>
        <w:t>Il est certes notoire qu'un certain nombre de personnes ayant participé aux manifestations de 2008 à Lhassa et C._______ se sont trouvées exposées à un risque de représailles par les autorités chinoises. Près de 200 personnes auraient été incarcérées pour atteinte à l'ordre publique (cf. les articles de la Radio Free Asia [RFA], "(...)", du (...) 2008 et "(...)", du (...) 2011). Selon la RFA, 20 pourcent des manifestants interpellés auraient été libérés jusqu'à la fin de l'année 2008. Il ne ressort pas clairement des sources médiatiques ce qu'il est advenu des autres. Selon Human Rights Watch (HRW), Amnesty International et le U.S. Department of State, le cercle de personnes qui risqueraient effectivement d'être poursuivies à long terme et qui auraient dû se réfugier dans les montagnes pendant plusieurs mois se limiterait aux moines bouddhistes, aux enseignants et aux leaders des manifestations, qui se seraient déjà fait remarquer auparavant par leur engagement politique (cf. notamment les deux rapports du HRW: "I Saw It with My Own Eyes - Abuses by Chinese Security Forces in Tibet", 2008-2010, du 21 juillet 2010 et "Under China's Shadow: Mistreatment of Tibetans in Nepal", mars 2014; cf. également les rapports d'Amnesty International, Annual Report 2013 - China, du 23 mai 2013 et celui du U.S. Department of State, Inernational Religious Freedom Report for 2013 -China, du 28 juillet 2014).</w:t>
      </w:r>
    </w:p>
    <w:p>
      <w:r>
        <w:rPr>
          <w:b/>
        </w:rPr>
        <w:t>E. 4.2</w:t>
      </w:r>
    </w:p>
    <w:p>
      <w:r>
        <w:t>Cela étant, le recourant n'a, à teneur du dossier, pas subi de sérieux préjudices avant son départ du Tibet ni n'appartient au cercle défini ci-dessus des personnes susceptibles d'être poursuivies à long terme. Tout d'abord, les articles produits à l'appui de son recours se limitent à des observations d'ordre général en rapport avec la répression des personnes ayant participé à la manifestation du (...) 2008. Ils n'établissent aucunement des faits l'impliquant personnellement. Ensuite, A._______ affirme s'être trouvé dans les premiers rangs lors de la marche de protestation susmentionnée, soit juste derrière le leader, E._______. Il serait aussi connu des autorités chinoises parce qu'il se rendait régulièrement dans des bars à karaoké et au marché de C._______ (cf. procès-verbal [pv] de l'audition du 20 mai 2014, p. 13). Avant cet événement, il aurait encore collé des affiches contre le régime chinois et sa politique, notamment en matière d'enseignement scolaire (cf. pv de l'audition du 20 mai 2014, p. 18). Concernant ces éléments, le SEM a relevé à juste titre que la probabilité d'être repéré dans la foule (entre 700 et 800 personnes, cf. pv de l'audition du 20 mai 2014, p. 12) ou connu de la police par le simple fait de fréquenter les rues de C._______ n'apparaissait pas suffisamment élevée. S'ajoute à cela que les activités politiques alléguées par le recourant ne sont nullement étayées, celui-ci ayant lui-même admis n'avoir jamais rencontré de problème avec les autorités chinoises (cf. pv de l'audition du 20 mai 2014, p. 18). Le recourant n'allègue en outre pas avoir été, après son départ, sérieusement recherché par les autorités. Sa famille aurait certes reçu la visite de la police mais, selon ses déclarations, la situation se serait calmée (cf. pv de l'audition du 20 mai 2014, p. 4). Enfin, de pratique constante, le simple fait d'avoir appris par des tiers que l'on est recherché ne permet pas d'établir l'existence d'une crainte fondée de persécution future.</w:t>
      </w:r>
    </w:p>
    <w:p>
      <w:r>
        <w:rPr>
          <w:b/>
        </w:rPr>
        <w:t>E. 4.3</w:t>
      </w:r>
    </w:p>
    <w:p>
      <w:r>
        <w:t>Il s'ensuit que le recours, en tant qu'il porte sur l'octroi de l'asile, doit être rejeté.</w:t>
      </w:r>
    </w:p>
    <w:p>
      <w:r>
        <w:rPr>
          <w:b/>
        </w:rPr>
        <w:t>E. 5.1</w:t>
      </w:r>
    </w:p>
    <w:p>
      <w:r>
        <w:t>Quand 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Il n'y a pas lieu d'examiner si l'exécution du renvoi est possible, licite ou raisonnablement exigible, au sens de l'art. 83 LEtr (RS 142.20), le SEM, dans sa décision du 4 juin 2014, ayant ordonné l'admission provisoire du recourant en Suisse.</w:t>
      </w:r>
    </w:p>
    <w:p>
      <w:r>
        <w:rPr>
          <w:b/>
        </w:rPr>
        <w:t>E. 7</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l'assistance judiciaire partielle est accordée au recourant, qui remplit les conditions posées à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