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D-3292/2019 vom 3. Oktober 2019</w:t>
      </w:r>
    </w:p>
    <w:p>
      <w:r>
        <w:t>Bundesverwaltungsgericht, 2019-10-03, DE</w:t>
      </w:r>
    </w:p>
    <w:p>
      <w:r>
        <w:rPr>
          <w:b/>
        </w:rPr>
        <w:t xml:space="preserve">Quelle: </w:t>
      </w:r>
      <w:r>
        <w:t>https://mcp.opencaselaw.ch/entscheid/bvger_D-3292_2019</w:t>
      </w:r>
    </w:p>
    <w:p>
      <w:r>
        <w:t>FR: TAF D-3292/2019 du 3 octobre 2019</w:t>
      </w:r>
    </w:p>
    <w:p>
      <w:r>
        <w:t>IT: TAF D-3292/2019 del 3 ottobre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(aArt. 108 Abs. 2 AsylG; Art. 48 Abs. 1 sowie Art. 52 Abs. 1 VwVG). Auf die Beschwerde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2016/2 E. 4.3 m. w. H.).</w:t>
      </w:r>
    </w:p>
    <w:p>
      <w:r>
        <w:rPr>
          <w:b/>
        </w:rPr>
        <w:t>E. 4.2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4.3</w:t>
      </w:r>
    </w:p>
    <w:p>
      <w:r>
        <w:t>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2015/10 E. 3.3 m. w. H.).</w:t>
      </w:r>
    </w:p>
    <w:p>
      <w:r>
        <w:rPr>
          <w:b/>
        </w:rPr>
        <w:t>E. 5.1</w:t>
      </w:r>
    </w:p>
    <w:p>
      <w:r>
        <w:t>Im Urteil des Bundesverwaltungsgerichts D-1874/2019 vom 29. April 2019 wurde festgestellt, dass das SEM im Zusammenhang mit der Anwendung der Souveränitätsklausel aus humanitären Gründen im Sinne von Art. 29a Abs. 3 AsylV 1 seiner Pflicht zur Ermessensausübung nicht nachgekommen sei und sein Ermessen unterschritten habe. Daher wurde die ursprüngliche Verfügung vom 2. April 2019 aufgehoben und die Sache zur Neubeurteilung an die Vorinstanz zurückgewiesen.</w:t>
      </w:r>
    </w:p>
    <w:p>
      <w:r>
        <w:rPr>
          <w:b/>
        </w:rPr>
        <w:t>E. 5.2</w:t>
      </w:r>
    </w:p>
    <w:p>
      <w:r>
        <w:t>In seiner am 18. Juni 2019 neu erlassenen Verfügung würdigt das SEM die Eingabe der Beschwerdeführerin vom 13. Juni 2019 sowie den Einschätzungsbericht des (...) vom (...) Juni 2019 als «Wunsch nach einem weiteren Verbleib in der Schweiz», der keinen Einfluss auf die Zuständigkeit für das Asyl- und Wegweisungsverfahren habe. Indem das SEM nicht näher auf den Inhalt der Eingabe eingeht, sondern diese insgesamt lediglich als «Wunsch nach einem weiteren Verbleib in der Schweiz» wertet, wird das Vorbringen der Beschwerdeführerin, in Frankreich Opfer von Menschenhandel geworden zu sein, weder ernsthaft geprüft noch in der Entscheidfindung entsprechend berücksichtigt (vgl. oben E. 4.2).</w:t>
      </w:r>
    </w:p>
    <w:p>
      <w:r>
        <w:rPr>
          <w:b/>
        </w:rPr>
        <w:t>E. 5.3</w:t>
      </w:r>
    </w:p>
    <w:p>
      <w:r>
        <w:t>Weiter erwägt das SEM, es obliege der Beschwerdeführerin, die geltend gemachte Straftat bei den zuständigen Behörden in Frankreich vorzubringen, zumal Frankreich ebenfalls Signatarstaat der EKM sei und bereits darüber in Kenntnis gesetzt worden sei, dass die Beschwerdeführerin ein potenzielles Opfer von Menschenhandel sei. Diese Erwägungen stehen nicht nur im Widerspruch mit der in BVGE 2016/27 statuierten prozessualen Untersuchungspflicht der staatlichen Stellen, bei Vorliegen eines mutmasslichen Menschenhandelssachverhalts von Amtes wegen Ermittlungen einzuleiten, ohne dass eine Anzeige des Opfers erforderlich wäre (a.a.O. E. 5.2.4), sondern stellen auch eine generelle Sicherheitsvermutung in Menschenhandelsfällen auf, welche bezüglich Frankreich vor dem Hintergrund, dass konkrete Hinweise vorliegen, dass der Vulnerabilität potenzieller Opfer von Menschenhandel in Frankreich nicht in jedem Fall adäquat Rechnung getragen werden kann (vgl. The Asylum Information Database [AIDA] Country Report: France, 2018 Update, S. 61 f.), nicht gerechtfertigt ist.</w:t>
      </w:r>
    </w:p>
    <w:p>
      <w:r>
        <w:rPr>
          <w:b/>
        </w:rPr>
        <w:t>E. 5.4</w:t>
      </w:r>
    </w:p>
    <w:p>
      <w:r>
        <w:t>Ausserdem wird in der angefochtenen Verfügung festgehalten, dass in der Schweiz kein strafrechtliches Verfahren hängig sei und deshalb der weitere Aufenthalt der Beschwerdeführerin in der Schweiz aufgrund des strafrechtlichen Verfahrens nicht erforderlich sei. Es erschliesst sich dem Bundesverwaltungsgericht indessen nicht, wie das SEM zu dieser Erkenntnis gekommen ist. Die Beschwerdeführerin reichte auf Beschwerdestufe eine Vorladung zur polizeilichen Einvernahme als Opfer ein, die einen Tag nach Erlass der angefochtenen Verfügung vom (...) Juni 2019 datiert und eine Einvernahme für den (...) Juni 2019 - der letzte Tag der Beschwerdefrist der angefochtenen Verfügung (im Nachhinein auf den [...] Juli 2019 verschoben) - vorsieht. Nachdem die Nichtbefolgung der Vorladung unter Strafandrohung (Ordnungsbusse, polizeiliche Vorführung) steht und demnach die Strafverfolgungsbehörden den weiteren Aufenthalt der Beschwerdeführerin in der Schweiz offenbar als erforderlich zu betrachten schienen, wurde das SEM eingeladen, sich vernehmen zu lassen. In seiner Vernehmlassung hielt das SEM fest, Abklärungen des SEM mit den zuständigen Behörden des Kantons F._______ sowie mit dem Fedpol hätten ergeben, dass lediglich eine Befragung im Kanton F._______ durchgeführt worden sei. Das Strafverfahren werde nicht weitergeführt. Das Fedpol stehe in Kontakt zu den französischen Ermittlungsbehörden, die ebenfalls entsprechende Ermittlungen aufgenommen hätten. Dabei ist indes festzustellen, dass sich den Akten nicht entnehmen lässt, wann und wie diese Abklärungen von der Vorinstanz vorgenommen worden sein sollen. Auch befindet sich weder eine Einstellungs- noch eine Nichtanhandnahmeverfügung der Strafverfolgungsbehörden in den Akten, obwohl die Unterlagen der Strafverfolgungsbehörden in der Regel dem SEM in Kopie zugestellt werden (vgl. act. A14). Damit ist das SEM seiner Aktenführungspflicht (vgl. oben E. 4.3) nicht genügend nachgekommen und verletzt dabei auch die Begründungspflicht, da die vorinstanzlichen Abklärungsergebnisse nicht nachvollziehbar und aktenkundig sind.</w:t>
      </w:r>
    </w:p>
    <w:p>
      <w:r>
        <w:rPr>
          <w:b/>
        </w:rPr>
        <w:t>E. 5.5</w:t>
      </w:r>
    </w:p>
    <w:p>
      <w:r>
        <w:t>Nach dem Gesagten drängt sich eine Kassation der angefochtenen Verfügung vorliegend zwingend auf. Einerseits wiegen den Erwägungen gemäss die Gehörsverletzungen in casu schwer. Andererseits verfügt die Beschwerdeinstanz nicht mehr über die volle Kognition, was eine zwingende Bedingung zur Heilung von Verfahrensverletzungen wäre (vgl. BVGE 2014/22 E. 5.3).</w:t>
      </w:r>
    </w:p>
    <w:p>
      <w:r>
        <w:rPr>
          <w:b/>
        </w:rPr>
        <w:t>E. 6</w:t>
      </w:r>
    </w:p>
    <w:p>
      <w:r>
        <w:t>Die Beschwerde ist folglich gutzuheissen, soweit die Aufhebung der angefochtenen Verfügung beantragt wird. Die angefochtene Verfügung vom 18. Juni 2019 ist aufzuheben und die Sache im Sinne der Erwägungen an die Vorinstanz zurückzuweisen.</w:t>
      </w:r>
    </w:p>
    <w:p>
      <w:r>
        <w:rPr>
          <w:b/>
        </w:rPr>
        <w:t>E. 7</w:t>
      </w:r>
    </w:p>
    <w:p>
      <w:r>
        <w:t>Angesichts des Verfahrensausgangs erübrigt sich eine Auseinandersetzung mit den weiteren Vorbringen in der Beschwerde.</w:t>
      </w:r>
    </w:p>
    <w:p>
      <w:r>
        <w:rPr>
          <w:b/>
        </w:rPr>
        <w:t>E. 8.1</w:t>
      </w:r>
    </w:p>
    <w:p>
      <w:r>
        <w:t>Bei diesem Ausgang des Verfahrens sind keine Verfahrenskosten aufzuerlegen (Art. 63 Abs. 1 und 2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Mangels eingereichter Kostennote sind die notwendigen Parteikosten aufgrund der Akten zu bestimmen (Art. 14 Abs. 2 VGKE). Gestützt auf die in Betracht zu ziehenden Bemessungsfaktoren (Art. 9-13 VGKE) ist der Beschwerdeführerin daher zulasten der Vorinstanz eine Parteientschädigung von insgesamt Fr. 1'050.-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