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D-3292/2016 vom 9. November 2016</w:t>
      </w:r>
    </w:p>
    <w:p>
      <w:r>
        <w:t>Bundesverwaltungsgericht, 2016-11-09, DE</w:t>
      </w:r>
    </w:p>
    <w:p>
      <w:r>
        <w:rPr>
          <w:b/>
        </w:rPr>
        <w:t xml:space="preserve">Quelle: </w:t>
      </w:r>
      <w:r>
        <w:t>https://mcp.opencaselaw.ch/entscheid/bvger_D-3292_2016</w:t>
      </w:r>
    </w:p>
    <w:p>
      <w:r>
        <w:t>FR: TAF D-3292/2016 du 9 novembre 2016</w:t>
      </w:r>
    </w:p>
    <w:p>
      <w:r>
        <w:t>IT: TAF D-3292/2016 del 9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im Wesentlichen aus, die Flucht vor einer rechtsstaatlich legitimen Verfolgung bilde keinen Grund für eine Asylgewährung, ausser wenn das Strafverfahren rechtsstaatlichen Ansprüchen nicht genüge, der betroffenen Person eine Verletzung fundamentaler Menschenrechte drohe oder die Strafe unverhältnismässig hoch ausfalle. In diesem Zusammenhang sei festzustellen, dass dem SEM keine entsprechende Strafnorm bekannt wäre, die vorliegend zur Anwendung gelangen könne. Auch bringe der Beschwerdeführer gar nicht vor, in der Autonomen Region Kurdistan (ARK) zu einer Strafe verurteilt worden oder Angeklagter in einem Gerichtsverfahren gewesen zu sein. Bei der Todesdrohung durch die Familie der Freundin handle es sich um eine Verfolgung durch Private. In der ARK bestehe dank der gut dotierten Sicherheitsbehörden und des Rechts- und Justizsystems eine funktionierende Schutzinfrastruktur. Personen, die wegen Blutrache oder familiärer Probleme von Dritten verfolgt oder bedroht würden, könnten auf den staatlichen Schutz zählen, ausser es lägen begründete Hinweise auf eine Absenz des Schutzwillens der Behörden vor, beispielsweise durch gute Beziehungen des Verfolgers zu den herrschenden Parteien oder eine diesen nicht genehme politische Haltung seitens des Verfolgten. Vorliegend bestünden keine Hinweise darauf. Schliesslich habe sich der Beschwerdeführer noch gar nicht an die zuständigen Sicherheitsbehörden gewandt.</w:t>
      </w:r>
    </w:p>
    <w:p>
      <w:r>
        <w:rPr>
          <w:b/>
        </w:rPr>
        <w:t>E. 4.2</w:t>
      </w:r>
    </w:p>
    <w:p>
      <w:r>
        <w:t>Der Beschwerdeführer hielt dem in seiner Beschwerde entgegen, das SEM gehe zu Unrecht davon aus, dass Geschlechtsverkehr mit einer verheirateten Frau im Irak nicht verboten sei. Dem beiliegenden Zeitungsartikel sei zu entnehmen, dass Ehebruch, wie in vielen islamischen Ländern, im Irak strafbar sei und mit Gefängnis bestraft werde. Er würde deshalb verhaftet und inhaftiert, was eine unverhältnismässige Strafe darstelle. Weiter sei der Staat zwar allenfalls willig aber nicht fähig, ihn gegen die Bedrohung durch die Familie der Freundin zu beschützen. Wenn eine Familie Blutrache ausüben wolle, dann mache sie das auch. Deshalb sei ihm Asyl zu gewähren. Subeventualiter müsse der Entscheid zurückgewiesen werden und das SEM müsse allenfalls mit Hilfe einer Botschaftsbefragung abklären, ob die Beziehung zu einer verheirateten Frau strafbar sei.</w:t>
      </w:r>
    </w:p>
    <w:p>
      <w:r>
        <w:rPr>
          <w:b/>
        </w:rPr>
        <w:t>E. 4.3</w:t>
      </w:r>
    </w:p>
    <w:p>
      <w:r>
        <w:t>In seiner Vernehmlassung hielt das SEM fest, ihm sei kein gesetzlicher Straftatbestand bekannt, welcher im Nordirak für jemanden, der Geschlechtsverkehr mit einer verheirateten Frau gehabt habe, zur Anwendung komme. Der vom Beschwerdeführer eingereichte Zeitungsartikel nenne nur eine Norm, welche verheiratete Frauen für Ehebruch unter Strafe stelle. Er selber habe jedoch keinen Vertrag abgeschlossen, gegen den er verstossen haben könnte. Und noch wenn der im Zeitungsartikel erwähnte Paragraph 307 angewendet würde, würde es sich hierbei nicht um eine asylrelevante Verfolgung handeln.</w:t>
      </w:r>
    </w:p>
    <w:p>
      <w:r>
        <w:rPr>
          <w:b/>
        </w:rPr>
        <w:t>E. 4.4</w:t>
      </w:r>
    </w:p>
    <w:p>
      <w:r>
        <w:t>In seiner Replik führte der Beschwerdeführer aus, nach schweizerischen Rechtsverständnis sei eine Bestrafung wegen Ehebruchs oder der Beziehung zu einer verheirateten Frau illegal, illegitim und damit sehr wohl asylrelevant. Aufgrund der Blutrache, gegen die ihn der Staat nicht schützen könne, wäre er einem realen Risiko einer gegen Art. 3 EMRK verstossenden Behandlung ausgesetzt. 5.1 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der Beschwerdeführer staatlichen Schutz beanspruchen kann (vgl. BVGE 2013/11 E. 5.1, 2010/57 E. 2 und 2008/12 E. 5). 5.2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 5.3 Wie das SEM geht auch das Bundesverwaltungsgericht nicht davon aus, dass der Beschwerdeführer aufgrund des Geschlechtsverkehrs mit einer verheirateten Frau behördlich verfolgt wird. Zwar wird gemäss Art. 377 des irakischen Strafgesetzbuches auch der am Ehebruch beteiligte Mann mit Gefängnis bestraft (vgl. https://www.ecoi.net/file_upload/4765_1464616474_pc-1969-v1-eng.pdf). Rein die Existenz eines solchen strafgesetzlichen Artikels reicht aber nicht aus für das Vorliegen einer Verfolgung beziehungsweise einer begründeten Furcht vor einer solchen im konkreten Fall des Beschwerdeführers. Dieser machte nämlich gar nicht geltend, zu einer Strafe verurteilt worden oder Angeklagter in einem Gerichtsverfahren gewesen zu sein. Er brachte auch nicht vor, dass ihn der Ehemann seiner Freundin deswegen angezeigt habe oder er von den Behörden gesucht worden sie. Die Bestrafung wegen Geschlechtsverkehr mit einer verheirateten Frau erwähnte er vielmehr nur am Rande, als Begründung warum er sich nicht an die Behörden gewandt habe. Als fluchtauslösend bezeichnet er aber vor allem die Drohungen durch die Familie der Freundin. Auch aus dem auf Beschwerdeebene eingereichten Zeitungsartikel lässt sich nichts zu Gunsten des Beschwerdeführers ableiten. Dieser hat lediglich die Bestrafung der ehebrecherischen Frauen zum Thema. Dass diesbezüglich in der ARK Probleme bestehen, wurde auch im BVGE 2008/4 aufgegriffen (vgl. E. 6.6.8). Der Beschwerdeführer gehört aber nicht zu der in diesem Sinne gefährdeten Gruppe. 5.4 Auch die Würdigung des SEM, die vorgetragenen Behelligungen der Familie der Freundin seien Handlungen durch private Drittpersonen, und die Einschätzung der Schutzinfrastrukturen in der ARK sind zu bestätigen. Zunächst gilt es darauf hinzuweisen, dass es angesichts der Tatsache, dass nicht einmal seiner Freundin durch die Familie Schaden zugefügt wurde (vgl. Akten des SEM A11, F63), relativ unwahrscheinlich ist, dass diese den Beschwerdeführer weiterhin behelligen würden. Gemäss BVGE 2008/4, welcher weiterhin Gültigkeit hat, sind die Sicherheits- und Justizbehörden der ARK zudem grundsätzlich in der Lage und willens, den Einwohnern der drei nordirakischen Provinzen Schutz vor Verfolgung zu gewähren. Diese Rechtsprechung hat weiterhin Gültigkeit. Das SEM hat richtig darauf hingewiesen, dass vorliegend keine begründete Hinweise auf eine Absenz des Schutzwillens der Behörden vorliegen, beispielsweise durch gute Beziehungen des Verfolgers zu den herrschenden Parteien oder eine diesen nicht genehme politische Haltung seitens des Verfolgten. Zudem hat sich der Beschwerdeführer noch gar nicht an die zuständigen Sicherheitsbehörden gewandt. Angesichts der Tatsache, dass der Beschwerdeführer wie auch schon sein Vater der Peschmerga angehörten (vgl. A11, F19 - F25) ist überdies davon auszugehen, dass er über entsprechende Kontakte und somit über einen effektiven Zugang zur behördlichen Schutzgewährung im Nordirak verfügt.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ARK ist demnach unter dem Aspekt von Art. 5 AsylG rechtmässig. Sodann ergeben sich weder aus den Aussagen des Beschwerdeführers noch aus den Akten Anhaltspunkte dafür, dass er für den Fall einer Ausschaffung in die ARK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ARK lässt den Wegweisungsvollzug zum heutigen Zeitpunkt nicht als unzulässig erscheinen (vgl. Referenzurteil des Bundesverwaltungsgerichts E-3737/2015 vom 14. Dezember 2015 E. 6.3 m.H.a. Urteil E-847/2014 vom 13. April 2015 E. 8.2.2; siehe auch die kürzlich ergangenen Urteile E-4297/2016 vom 12. Oktober 2016 und D-3405/2016 vom 14. September 2016 E. 8.3).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hat die aus dem Jahr 2008 datierende Lagebeurteilung betreffend den Nordirak (BVGE 2008/5) aktualisiert und die damit einhergehende langjährige Praxis in seinem als Referenzurteil publizierten Urteil E-3737/2015 vom 14. Dezember 2015 für grundsätzlich weiterhin anwendbar erklärt (vgl. E. 7.4). Dabei wies es darauf hin,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Region des KRG (Kurdistan Regional Government)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Das Bundesverwaltungsgericht hielt im angeführten Urteil fest, dass in den vier Provinzen der Autonomen Kurdischen Region auch im heutigen Zeitpunkt nicht von einer Situation allgemeiner Gewalt im Sinn von Art. 83 Abs. 4 AuG auszugehen ist und keine Anhaltspunkte für die Annahme vorliegen, dass sich dies in absehbarer Zeit massgeblich verändern würde. Der Wegweisungsvollzug ist damit als grundsätzlich zumutbar zu bezeichnen.</w:t>
      </w:r>
    </w:p>
    <w:p>
      <w:r>
        <w:rPr>
          <w:b/>
        </w:rPr>
        <w:t>E. 7.4.2</w:t>
      </w:r>
    </w:p>
    <w:p>
      <w:r>
        <w:t>Weiter wies das Bundesverwaltungsgericht darauf hin, angesichts der Belastung der behördlichen Infrastrukturen durch intern Vertriebene sei allerdings jeweils der Prüfung des Vorliegens begünstigender individueller Faktoren - insbesondere denjenigen eines tragfähigen familiären Beziehungsnetzes - besonderes Gewicht beizumessen (vgl. E-3737/2015 E. 7.4.5). Der Beschwerdeführer stammt aus der Provinz Dohuk, wo seine Eltern und zahlreiche Geschwister sowie weitere Verwandte und Freunde weiterhin wohnen. Somit verfügt er in der Heimat über ein tragfähiges Beziehungsnetz. Aus den Akten ergeben sich auch keine weiteren Hinweise auf individuelle Unzumutbarkeitselemente. Der Beschwerdeführer ist jung und gesund und verfügt über schulische Bildung sowie berufliche Erfahrung. Insgesamt ist somit davon auszugehen, dass er sich bei einer Rückkehr eine tragfähige Existenz wird aufbauen können und nicht in eine Notlage geraten wird.</w:t>
      </w:r>
    </w:p>
    <w:p>
      <w:r>
        <w:rPr>
          <w:b/>
        </w:rPr>
        <w:t>E. 7.4.3</w:t>
      </w:r>
    </w:p>
    <w:p>
      <w:r>
        <w:t>Nach dem Gesagten erweist sich der Vollzug der Wegweisung demnach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jedoch das mit der Beschwerde gestellte Gesuch um unentgeltliche Rechtspflege mit Zwischenverfügung vom 22. Juni 2016 gutgeheissen wurde, werden keine Kosten auferlegt.</w:t>
      </w:r>
    </w:p>
    <w:p>
      <w:r>
        <w:rPr>
          <w:b/>
        </w:rPr>
        <w:t>E. 9.2</w:t>
      </w:r>
    </w:p>
    <w:p>
      <w:r>
        <w:t>Ebenfalls mit Zwischenverfügung vom 22. Juni 2016 wurde der rubrizierte Vertreter als amtlicher Rechtsbestand beigeordnet. Er ist unbesehen des Ausgangs des Verfahrens zu entschädigen. Im Verfahren wurde keine Kostennote eingereicht. Auf entsprechende Nachforderung kann jedoch verzichtet werden, da der notwendige Vertretungsaufwand aufgrund der Akten unter Berücksichtigung der massgebenden Berechnungsfaktoren (Art. 12 i.V.m. Art. 9-11 des Reglements vom 21. Februar 2008 über die Kosten und Entschädigungen vor dem Bundesverwaltungsgericht [VGKE, SR 173.320.2]) zuverlässig abgeschätzt werden kann. Die Beschwerdeschrift wurde vom Beschwerdeführer selber verfasst. Die Eingaben des Rechtsvertreters beschränkten sich auf ein Schreiben in Bezug auf die Mandatierung und eine kurze Replik. Das Honorar ist deshalb auf Fr. 400.- (inkl. Auslagen und Mehrwertsteuer) festzusetzen. Dem rubrizierten Vertreter wird demnach vom Bundesverwaltungsgericht ein Honorar in dieser Höhe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